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default" w:ascii="Times New Roman" w:hAnsi="Times New Roman" w:eastAsia="黑体" w:cs="Times New Roman"/>
                <w:sz w:val="21"/>
                <w:szCs w:val="21"/>
                <w:highlight w:val="none"/>
              </w:rPr>
            </w:pPr>
            <w:r>
              <w:rPr>
                <w:rFonts w:hint="default" w:ascii="Times New Roman" w:hAnsi="Times New Roman" w:eastAsia="黑体" w:cs="Times New Roman"/>
                <w:sz w:val="21"/>
                <w:szCs w:val="21"/>
                <w:highlight w:val="none"/>
              </w:rPr>
              <w:t>ICS</w:t>
            </w:r>
          </w:p>
        </w:tc>
        <w:tc>
          <w:tcPr>
            <w:tcW w:w="8855" w:type="dxa"/>
          </w:tcPr>
          <w:p>
            <w:pPr>
              <w:pStyle w:val="19"/>
              <w:framePr w:wrap="notBeside" w:vAnchor="page" w:hAnchor="page" w:x="1372" w:y="568"/>
              <w:tabs>
                <w:tab w:val="clear" w:pos="4153"/>
                <w:tab w:val="clear" w:pos="8306"/>
              </w:tabs>
              <w:spacing w:line="240" w:lineRule="auto"/>
              <w:jc w:val="both"/>
              <w:rPr>
                <w:rFonts w:hint="default" w:ascii="Times New Roman" w:hAnsi="Times New Roman" w:eastAsia="黑体" w:cs="Times New Roman"/>
                <w:sz w:val="21"/>
                <w:szCs w:val="21"/>
                <w:highlight w:val="none"/>
              </w:rPr>
            </w:pPr>
            <w:r>
              <w:rPr>
                <w:rFonts w:hint="default" w:ascii="Times New Roman" w:hAnsi="Times New Roman" w:eastAsia="黑体" w:cs="Times New Roman"/>
                <w:sz w:val="21"/>
                <w:szCs w:val="21"/>
                <w:highlight w:val="none"/>
              </w:rPr>
              <w:fldChar w:fldCharType="begin">
                <w:ffData>
                  <w:name w:val="ICS"/>
                  <w:enabled/>
                  <w:calcOnExit w:val="0"/>
                  <w:textInput>
                    <w:default w:val="点击此处添加ICS号"/>
                  </w:textInput>
                </w:ffData>
              </w:fldChar>
            </w:r>
            <w:bookmarkStart w:id="0" w:name="ICS"/>
            <w:r>
              <w:rPr>
                <w:rFonts w:hint="default" w:ascii="Times New Roman" w:hAnsi="Times New Roman" w:eastAsia="黑体" w:cs="Times New Roman"/>
                <w:sz w:val="21"/>
                <w:szCs w:val="21"/>
                <w:highlight w:val="none"/>
              </w:rPr>
              <w:instrText xml:space="preserve"> FORMTEXT </w:instrText>
            </w:r>
            <w:r>
              <w:rPr>
                <w:rFonts w:hint="default" w:ascii="Times New Roman" w:hAnsi="Times New Roman" w:eastAsia="黑体" w:cs="Times New Roman"/>
                <w:sz w:val="21"/>
                <w:szCs w:val="21"/>
                <w:highlight w:val="none"/>
              </w:rPr>
              <w:fldChar w:fldCharType="separate"/>
            </w:r>
            <w:r>
              <w:rPr>
                <w:rFonts w:hint="default" w:ascii="Times New Roman" w:hAnsi="Times New Roman" w:eastAsia="黑体" w:cs="Times New Roman"/>
                <w:sz w:val="21"/>
                <w:szCs w:val="21"/>
                <w:highlight w:val="none"/>
              </w:rPr>
              <w:t>35.240.60</w:t>
            </w:r>
            <w:r>
              <w:rPr>
                <w:rFonts w:hint="default" w:ascii="Times New Roman" w:hAnsi="Times New Roman" w:eastAsia="黑体" w:cs="Times New Roman"/>
                <w:sz w:val="21"/>
                <w:szCs w:val="21"/>
                <w:highlight w:val="none"/>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sz w:val="21"/>
                <w:szCs w:val="21"/>
                <w:highlight w:val="none"/>
              </w:rPr>
            </w:pPr>
            <w:r>
              <w:rPr>
                <w:rFonts w:hint="default" w:ascii="Times New Roman" w:hAnsi="Times New Roman" w:eastAsia="黑体" w:cs="Times New Roman"/>
                <w:sz w:val="21"/>
                <w:szCs w:val="21"/>
                <w:highlight w:val="none"/>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hint="default" w:ascii="Times New Roman" w:hAnsi="Times New Roman" w:cs="Times New Roman"/>
                      <w:sz w:val="28"/>
                      <w:szCs w:val="28"/>
                      <w:highlight w:val="none"/>
                    </w:rPr>
                  </w:pPr>
                </w:p>
              </w:tc>
            </w:tr>
          </w:tbl>
          <w:p>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sz w:val="21"/>
                <w:szCs w:val="21"/>
                <w:highlight w:val="none"/>
              </w:rPr>
            </w:pPr>
            <w:r>
              <w:rPr>
                <w:rFonts w:hint="default" w:ascii="Times New Roman" w:hAnsi="Times New Roman" w:eastAsia="黑体" w:cs="Times New Roman"/>
                <w:sz w:val="21"/>
                <w:szCs w:val="21"/>
                <w:highlight w:val="none"/>
              </w:rPr>
              <w:fldChar w:fldCharType="begin">
                <w:ffData>
                  <w:name w:val="CSDN"/>
                  <w:enabled/>
                  <w:calcOnExit w:val="0"/>
                  <w:textInput>
                    <w:default w:val="点击此处添加CCS号"/>
                  </w:textInput>
                </w:ffData>
              </w:fldChar>
            </w:r>
            <w:bookmarkStart w:id="1" w:name="CSDN"/>
            <w:r>
              <w:rPr>
                <w:rFonts w:hint="default" w:ascii="Times New Roman" w:hAnsi="Times New Roman" w:eastAsia="黑体" w:cs="Times New Roman"/>
                <w:sz w:val="21"/>
                <w:szCs w:val="21"/>
                <w:highlight w:val="none"/>
              </w:rPr>
              <w:instrText xml:space="preserve"> FORMTEXT </w:instrText>
            </w:r>
            <w:r>
              <w:rPr>
                <w:rFonts w:hint="default" w:ascii="Times New Roman" w:hAnsi="Times New Roman" w:eastAsia="黑体" w:cs="Times New Roman"/>
                <w:sz w:val="21"/>
                <w:szCs w:val="21"/>
                <w:highlight w:val="none"/>
              </w:rPr>
              <w:fldChar w:fldCharType="separate"/>
            </w:r>
            <w:r>
              <w:rPr>
                <w:rFonts w:hint="default" w:ascii="Times New Roman" w:hAnsi="Times New Roman" w:eastAsia="黑体" w:cs="Times New Roman"/>
                <w:sz w:val="21"/>
                <w:szCs w:val="21"/>
                <w:highlight w:val="none"/>
              </w:rPr>
              <w:t>L71</w:t>
            </w:r>
            <w:r>
              <w:rPr>
                <w:rFonts w:hint="default" w:ascii="Times New Roman" w:hAnsi="Times New Roman" w:eastAsia="黑体" w:cs="Times New Roman"/>
                <w:sz w:val="21"/>
                <w:szCs w:val="21"/>
                <w:highlight w:val="none"/>
              </w:rPr>
              <w:fldChar w:fldCharType="end"/>
            </w:r>
            <w:bookmarkEnd w:id="1"/>
          </w:p>
        </w:tc>
      </w:tr>
    </w:tbl>
    <w:p>
      <w:pPr>
        <w:pStyle w:val="51"/>
        <w:framePr w:w="9639" w:h="624" w:hRule="exact" w:hSpace="181" w:vSpace="181" w:hAnchor="page" w:x="1305" w:y="2269"/>
        <w:rPr>
          <w:rFonts w:hint="default" w:ascii="Times New Roman" w:hAnsi="Times New Roman" w:eastAsia="黑体" w:cs="Times New Roman"/>
          <w:b w:val="0"/>
          <w:bCs w:val="0"/>
          <w:w w:val="100"/>
          <w:sz w:val="48"/>
          <w:szCs w:val="48"/>
          <w:highlight w:val="none"/>
        </w:rPr>
      </w:pPr>
      <w:bookmarkStart w:id="2" w:name="_Hlk26473981"/>
      <w:r>
        <w:rPr>
          <w:rFonts w:hint="default" w:ascii="Times New Roman" w:hAnsi="Times New Roman" w:eastAsia="黑体" w:cs="Times New Roman"/>
          <w:b w:val="0"/>
          <w:w w:val="100"/>
          <w:sz w:val="48"/>
          <w:highlight w:val="none"/>
        </w:rPr>
        <w:t>团体</w:t>
      </w:r>
      <w:r>
        <w:rPr>
          <w:rFonts w:hint="default" w:ascii="Times New Roman" w:hAnsi="Times New Roman" w:eastAsia="黑体" w:cs="Times New Roman"/>
          <w:b w:val="0"/>
          <w:bCs w:val="0"/>
          <w:w w:val="100"/>
          <w:sz w:val="48"/>
          <w:szCs w:val="48"/>
          <w:highlight w:val="none"/>
        </w:rPr>
        <w:t>标准</w:t>
      </w:r>
    </w:p>
    <w:bookmarkEnd w:id="2"/>
    <w:p>
      <w:pPr>
        <w:pStyle w:val="196"/>
        <w:rPr>
          <w:rFonts w:hint="default" w:ascii="Times New Roman" w:hAnsi="Times New Roman" w:cs="Times New Roman"/>
          <w:highlight w:val="none"/>
        </w:rPr>
      </w:pPr>
      <w:r>
        <w:rPr>
          <w:rFonts w:hint="default" w:ascii="Times New Roman" w:hAnsi="Times New Roman" w:cs="Times New Roman"/>
          <w:highlight w:val="none"/>
        </w:rPr>
        <w:t>T/</w:t>
      </w:r>
      <w:r>
        <w:rPr>
          <w:rFonts w:hint="default" w:ascii="Times New Roman" w:hAnsi="Times New Roman" w:cs="Times New Roman"/>
          <w:highlight w:val="none"/>
        </w:rPr>
        <w:fldChar w:fldCharType="begin">
          <w:ffData>
            <w:name w:val="文字1"/>
            <w:enabled/>
            <w:calcOnExit w:val="0"/>
            <w:textInput>
              <w:default w:val="XXX"/>
            </w:textInput>
          </w:ffData>
        </w:fldChar>
      </w:r>
      <w:bookmarkStart w:id="3" w:name="文字1"/>
      <w:r>
        <w:rPr>
          <w:rFonts w:hint="default" w:ascii="Times New Roman" w:hAnsi="Times New Roman" w:cs="Times New Roman"/>
          <w:highlight w:val="none"/>
        </w:rPr>
        <w:instrText xml:space="preserve"> FORMTEXT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 xml:space="preserve">LNHX </w:t>
      </w:r>
      <w:r>
        <w:rPr>
          <w:rFonts w:hint="default" w:ascii="Times New Roman" w:hAnsi="Times New Roman" w:cs="Times New Roman"/>
          <w:highlight w:val="none"/>
        </w:rPr>
        <w:fldChar w:fldCharType="end"/>
      </w:r>
      <w:bookmarkEnd w:id="3"/>
      <w:r>
        <w:rPr>
          <w:rFonts w:hint="default" w:ascii="Times New Roman" w:hAnsi="Times New Roman" w:cs="Times New Roman"/>
          <w:highlight w:val="none"/>
        </w:rPr>
        <w:t>001—2022</w:t>
      </w:r>
    </w:p>
    <w:p>
      <w:pPr>
        <w:pStyle w:val="197"/>
        <w:rPr>
          <w:rFonts w:hint="default" w:ascii="Times New Roman" w:hAnsi="Times New Roman" w:cs="Times New Roman"/>
          <w:highlight w:val="none"/>
        </w:rPr>
      </w:pPr>
      <w:r>
        <w:rPr>
          <w:rFonts w:hint="default" w:ascii="Times New Roman" w:hAnsi="Times New Roman" w:cs="Times New Roman"/>
          <w:highlight w:val="none"/>
        </w:rPr>
        <w:fldChar w:fldCharType="begin">
          <w:ffData>
            <w:name w:val="OSTD_CODE"/>
            <w:enabled/>
            <w:calcOnExit w:val="0"/>
            <w:textInput/>
          </w:ffData>
        </w:fldChar>
      </w:r>
      <w:bookmarkStart w:id="4" w:name="OSTD_CODE"/>
      <w:r>
        <w:rPr>
          <w:rFonts w:hint="default" w:ascii="Times New Roman" w:hAnsi="Times New Roman" w:cs="Times New Roman"/>
          <w:highlight w:val="none"/>
        </w:rPr>
        <w:instrText xml:space="preserve"> FORMTEXT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     </w:t>
      </w:r>
      <w:r>
        <w:rPr>
          <w:rFonts w:hint="default" w:ascii="Times New Roman" w:hAnsi="Times New Roman" w:cs="Times New Roman"/>
          <w:highlight w:val="none"/>
        </w:rPr>
        <w:fldChar w:fldCharType="end"/>
      </w:r>
      <w:bookmarkEnd w:id="4"/>
    </w:p>
    <w:p>
      <w:pPr>
        <w:spacing w:line="240" w:lineRule="auto"/>
        <w:rPr>
          <w:rFonts w:hint="default" w:ascii="Times New Roman" w:hAnsi="Times New Roman" w:eastAsia="黑体" w:cs="Times New Roman"/>
          <w:kern w:val="0"/>
          <w:sz w:val="10"/>
          <w:szCs w:val="10"/>
          <w:highlight w:val="none"/>
        </w:rPr>
      </w:pPr>
      <w:r>
        <w:rPr>
          <w:rFonts w:hint="default" w:ascii="Times New Roman" w:hAnsi="Times New Roman" w:eastAsia="黑体" w:cs="Times New Roman"/>
          <w:kern w:val="0"/>
          <w:sz w:val="10"/>
          <w:szCs w:val="10"/>
          <w:highlight w:val="none"/>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1"/>
        <w:framePr w:w="9639" w:h="6976" w:hRule="exact" w:hSpace="0" w:vSpace="0" w:hAnchor="page" w:y="6408"/>
        <w:jc w:val="center"/>
        <w:rPr>
          <w:rFonts w:hint="default" w:ascii="Times New Roman" w:hAnsi="Times New Roman" w:eastAsia="黑体" w:cs="Times New Roman"/>
          <w:b w:val="0"/>
          <w:bCs w:val="0"/>
          <w:w w:val="100"/>
          <w:highlight w:val="none"/>
        </w:rPr>
      </w:pPr>
    </w:p>
    <w:p>
      <w:pPr>
        <w:pStyle w:val="198"/>
        <w:framePr w:h="6974" w:hRule="exact" w:x="1419" w:anchorLock="1"/>
        <w:rPr>
          <w:rFonts w:hint="default" w:ascii="Times New Roman" w:hAnsi="Times New Roman" w:eastAsia="黑体" w:cs="Times New Roman"/>
          <w:highlight w:val="none"/>
          <w:lang w:val="en-US" w:eastAsia="zh-CN"/>
        </w:rPr>
      </w:pPr>
      <w:r>
        <w:rPr>
          <w:rFonts w:hint="default" w:ascii="Times New Roman" w:hAnsi="Times New Roman" w:cs="Times New Roman"/>
          <w:highlight w:val="none"/>
          <w:lang w:val="en-US" w:eastAsia="zh-CN"/>
        </w:rPr>
        <w:t>氢</w:t>
      </w:r>
      <w:r>
        <w:rPr>
          <w:rFonts w:hint="default" w:ascii="Times New Roman" w:hAnsi="Times New Roman" w:cs="Times New Roman"/>
          <w:szCs w:val="22"/>
          <w:highlight w:val="none"/>
        </w:rPr>
        <w:t>燃料电池</w:t>
      </w:r>
      <w:r>
        <w:rPr>
          <w:rFonts w:hint="default" w:ascii="Times New Roman" w:hAnsi="Times New Roman" w:cs="Times New Roman"/>
          <w:szCs w:val="22"/>
          <w:highlight w:val="none"/>
          <w:lang w:val="en-US" w:eastAsia="zh-CN"/>
        </w:rPr>
        <w:t>电动</w:t>
      </w:r>
      <w:r>
        <w:rPr>
          <w:rFonts w:hint="default" w:ascii="Times New Roman" w:hAnsi="Times New Roman" w:cs="Times New Roman"/>
          <w:szCs w:val="22"/>
          <w:highlight w:val="none"/>
        </w:rPr>
        <w:t>商用车运行规范</w:t>
      </w:r>
    </w:p>
    <w:p>
      <w:pPr>
        <w:pStyle w:val="126"/>
        <w:framePr w:w="9639" w:h="6974" w:hRule="exact" w:wrap="around" w:vAnchor="page" w:hAnchor="page" w:x="1419" w:y="6408" w:anchorLock="1"/>
        <w:jc w:val="both"/>
        <w:textAlignment w:val="bottom"/>
        <w:rPr>
          <w:rFonts w:hint="default" w:ascii="Times New Roman" w:hAnsi="Times New Roman" w:eastAsia="黑体" w:cs="Times New Roman"/>
          <w:szCs w:val="28"/>
          <w:highlight w:val="none"/>
        </w:rPr>
      </w:pPr>
    </w:p>
    <w:p>
      <w:pPr>
        <w:pStyle w:val="126"/>
        <w:framePr w:w="9639" w:h="6974" w:hRule="exact" w:wrap="around" w:vAnchor="page" w:hAnchor="page" w:x="1419" w:y="6408" w:anchorLock="1"/>
        <w:textAlignment w:val="bottom"/>
        <w:rPr>
          <w:rFonts w:hint="default" w:ascii="Times New Roman" w:hAnsi="Times New Roman" w:eastAsia="黑体" w:cs="Times New Roman"/>
          <w:szCs w:val="28"/>
          <w:highlight w:val="none"/>
        </w:rPr>
      </w:pPr>
      <w:r>
        <w:rPr>
          <w:rFonts w:hint="default" w:ascii="Times New Roman" w:hAnsi="Times New Roman" w:eastAsia="黑体" w:cs="Times New Roman"/>
          <w:szCs w:val="28"/>
          <w:highlight w:val="none"/>
          <w:lang w:val="en-US" w:eastAsia="zh-CN"/>
        </w:rPr>
        <w:t>Operation specification for hydrogen fuel cell commercial vehicle</w:t>
      </w:r>
    </w:p>
    <w:p>
      <w:pPr>
        <w:framePr w:w="9639" w:h="6974" w:hRule="exact" w:wrap="around" w:vAnchor="page" w:hAnchor="page" w:x="1419" w:y="6408" w:anchorLock="1"/>
        <w:spacing w:line="760" w:lineRule="exact"/>
        <w:ind w:left="-1418"/>
        <w:rPr>
          <w:rFonts w:hint="default" w:ascii="Times New Roman" w:hAnsi="Times New Roman" w:cs="Times New Roman"/>
          <w:highlight w:val="none"/>
        </w:rPr>
      </w:pPr>
    </w:p>
    <w:p>
      <w:pPr>
        <w:pStyle w:val="126"/>
        <w:framePr w:w="9639" w:h="6974" w:hRule="exact" w:wrap="around" w:vAnchor="page" w:hAnchor="page" w:x="1419" w:y="6408" w:anchorLock="1"/>
        <w:textAlignment w:val="bottom"/>
        <w:rPr>
          <w:rFonts w:hint="default" w:ascii="Times New Roman" w:hAnsi="Times New Roman" w:eastAsia="黑体" w:cs="Times New Roman"/>
          <w:szCs w:val="28"/>
          <w:highlight w:val="none"/>
        </w:rPr>
      </w:pPr>
    </w:p>
    <w:p>
      <w:pPr>
        <w:pStyle w:val="194"/>
        <w:framePr w:y="14176"/>
        <w:rPr>
          <w:rFonts w:hint="default" w:ascii="Times New Roman" w:hAnsi="Times New Roman" w:cs="Times New Roman"/>
          <w:highlight w:val="none"/>
        </w:rPr>
      </w:pPr>
      <w:r>
        <w:rPr>
          <w:rFonts w:hint="default" w:ascii="Times New Roman" w:hAnsi="Times New Roman" w:cs="Times New Roman"/>
          <w:highlight w:val="none"/>
          <w:lang w:val="en-US" w:eastAsia="zh-CN"/>
        </w:rPr>
        <w:t>2025</w:t>
      </w:r>
      <w:r>
        <w:rPr>
          <w:rFonts w:hint="default" w:ascii="Times New Roman" w:hAnsi="Times New Roman" w:cs="Times New Roman"/>
          <w:highlight w:val="none"/>
        </w:rPr>
        <w:t>-</w:t>
      </w:r>
      <w:r>
        <w:rPr>
          <w:rFonts w:hint="default" w:ascii="Times New Roman" w:hAnsi="Times New Roman" w:cs="Times New Roman"/>
          <w:highlight w:val="none"/>
          <w:lang w:val="en-US" w:eastAsia="zh-CN"/>
        </w:rPr>
        <w:t>5</w:t>
      </w:r>
      <w:r>
        <w:rPr>
          <w:rFonts w:hint="default" w:ascii="Times New Roman" w:hAnsi="Times New Roman" w:cs="Times New Roman"/>
          <w:highlight w:val="none"/>
        </w:rPr>
        <w:t>-</w:t>
      </w:r>
      <w:r>
        <w:rPr>
          <w:rFonts w:hint="default" w:ascii="Times New Roman" w:hAnsi="Times New Roman" w:cs="Times New Roman"/>
          <w:highlight w:val="none"/>
          <w:lang w:val="en-US" w:eastAsia="zh-CN"/>
        </w:rPr>
        <w:t>30</w:t>
      </w:r>
      <w:r>
        <w:rPr>
          <w:rFonts w:hint="default" w:ascii="Times New Roman" w:hAnsi="Times New Roman" w:cs="Times New Roman"/>
          <w:highlight w:val="none"/>
        </w:rPr>
        <w:t>发布</w:t>
      </w:r>
    </w:p>
    <w:p>
      <w:pPr>
        <w:pStyle w:val="195"/>
        <w:framePr w:y="14176"/>
        <w:rPr>
          <w:rFonts w:hint="default" w:ascii="Times New Roman" w:hAnsi="Times New Roman" w:cs="Times New Roman"/>
          <w:highlight w:val="none"/>
        </w:rPr>
      </w:pPr>
      <w:r>
        <w:rPr>
          <w:rFonts w:hint="default" w:ascii="Times New Roman" w:hAnsi="Times New Roman" w:cs="Times New Roman"/>
          <w:highlight w:val="none"/>
          <w:lang w:val="en-US" w:eastAsia="zh-CN"/>
        </w:rPr>
        <w:t>2025</w:t>
      </w:r>
      <w:r>
        <w:rPr>
          <w:rFonts w:hint="default" w:ascii="Times New Roman" w:hAnsi="Times New Roman" w:cs="Times New Roman"/>
          <w:highlight w:val="none"/>
        </w:rPr>
        <w:t>-11-01实施</w:t>
      </w:r>
    </w:p>
    <w:p>
      <w:pPr>
        <w:pStyle w:val="152"/>
        <w:framePr w:h="584" w:hRule="exact" w:hSpace="181" w:vSpace="181" w:y="14800"/>
        <w:pBdr>
          <w:top w:val="none" w:color="auto" w:sz="0" w:space="0"/>
          <w:left w:val="none" w:color="auto" w:sz="0" w:space="0"/>
          <w:bottom w:val="none" w:color="auto" w:sz="0" w:space="0"/>
          <w:right w:val="none" w:color="auto" w:sz="0" w:space="0"/>
        </w:pBdr>
        <w:rPr>
          <w:rStyle w:val="230"/>
          <w:rFonts w:hint="default" w:ascii="Times New Roman" w:hAnsi="Times New Roman" w:cs="Times New Roman"/>
          <w:spacing w:val="0"/>
          <w:position w:val="0"/>
          <w:highlight w:val="none"/>
        </w:rPr>
      </w:pPr>
      <w:r>
        <w:rPr>
          <w:rFonts w:hint="default" w:ascii="Times New Roman" w:hAnsi="Times New Roman" w:cs="Times New Roman"/>
          <w:w w:val="100"/>
          <w:sz w:val="28"/>
          <w:szCs w:val="22"/>
          <w:highlight w:val="none"/>
          <w:lang w:eastAsia="zh-CN"/>
        </w:rPr>
        <w:t>大连市氢能产业发展促进协会</w:t>
      </w:r>
      <w:r>
        <w:rPr>
          <w:rFonts w:hint="default" w:ascii="Times New Roman" w:hAnsi="Times New Roman" w:cs="Times New Roman"/>
          <w:w w:val="100"/>
          <w:sz w:val="28"/>
          <w:szCs w:val="22"/>
          <w:highlight w:val="none"/>
          <w:lang w:val="en-US" w:eastAsia="zh-CN"/>
        </w:rPr>
        <w:t xml:space="preserve"> </w:t>
      </w:r>
      <w:r>
        <w:rPr>
          <w:rStyle w:val="230"/>
          <w:rFonts w:hint="default" w:ascii="Times New Roman" w:hAnsi="Times New Roman" w:cs="Times New Roman"/>
          <w:position w:val="0"/>
          <w:highlight w:val="none"/>
        </w:rPr>
        <w:t>发</w:t>
      </w:r>
      <w:r>
        <w:rPr>
          <w:rStyle w:val="230"/>
          <w:rFonts w:hint="default" w:ascii="Times New Roman" w:hAnsi="Times New Roman" w:cs="Times New Roman"/>
          <w:spacing w:val="0"/>
          <w:position w:val="0"/>
          <w:highlight w:val="none"/>
        </w:rPr>
        <w:t>布</w:t>
      </w:r>
    </w:p>
    <w:p>
      <w:pPr>
        <w:rPr>
          <w:rFonts w:hint="default" w:ascii="Times New Roman" w:hAnsi="Times New Roman" w:cs="Times New Roman"/>
          <w:sz w:val="28"/>
          <w:szCs w:val="28"/>
          <w:highlight w:val="none"/>
        </w:rPr>
        <w:sectPr>
          <w:headerReference r:id="rId5" w:type="first"/>
          <w:footerReference r:id="rId7" w:type="first"/>
          <w:headerReference r:id="rId3" w:type="default"/>
          <w:headerReference r:id="rId4" w:type="even"/>
          <w:footerReference r:id="rId6"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bookmarkStart w:id="98" w:name="_GoBack"/>
      <w:bookmarkEnd w:id="98"/>
      <w:r>
        <w:rPr>
          <w:rFonts w:hint="default" w:ascii="Times New Roman" w:hAnsi="Times New Roman" w:cs="Times New Roman"/>
          <w:sz w:val="28"/>
          <w:szCs w:val="28"/>
          <w:highlight w:val="none"/>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pStyle w:val="92"/>
        <w:spacing w:after="360"/>
        <w:rPr>
          <w:rFonts w:hint="default" w:ascii="Times New Roman" w:hAnsi="Times New Roman" w:cs="Times New Roman"/>
          <w:highlight w:val="none"/>
        </w:rPr>
      </w:pPr>
      <w:bookmarkStart w:id="5" w:name="BookMark1"/>
      <w:bookmarkStart w:id="6" w:name="_Toc115354275"/>
      <w:bookmarkStart w:id="7" w:name="_Toc115354643"/>
      <w:bookmarkStart w:id="8" w:name="_Toc111031879"/>
      <w:bookmarkStart w:id="9" w:name="_Toc110851044"/>
      <w:bookmarkStart w:id="10" w:name="_Toc115354675"/>
      <w:r>
        <w:rPr>
          <w:rFonts w:hint="default" w:ascii="Times New Roman" w:hAnsi="Times New Roman" w:cs="Times New Roman"/>
          <w:spacing w:val="320"/>
          <w:highlight w:val="none"/>
        </w:rPr>
        <w:t>目</w:t>
      </w:r>
      <w:r>
        <w:rPr>
          <w:rFonts w:hint="default" w:ascii="Times New Roman" w:hAnsi="Times New Roman" w:cs="Times New Roman"/>
          <w:highlight w:val="none"/>
        </w:rPr>
        <w:t>次</w:t>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TOC \o "1-1"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_Toc7083 </w:instrText>
      </w:r>
      <w:r>
        <w:rPr>
          <w:rFonts w:hint="default" w:ascii="Times New Roman" w:hAnsi="Times New Roman" w:cs="Times New Roman"/>
          <w:highlight w:val="none"/>
        </w:rPr>
        <w:fldChar w:fldCharType="separate"/>
      </w:r>
      <w:r>
        <w:rPr>
          <w:rFonts w:hint="default" w:ascii="Times New Roman" w:hAnsi="Times New Roman" w:cs="Times New Roman"/>
          <w:spacing w:val="320"/>
          <w:highlight w:val="none"/>
        </w:rPr>
        <w:t>前</w:t>
      </w:r>
      <w:r>
        <w:rPr>
          <w:rFonts w:hint="default" w:ascii="Times New Roman" w:hAnsi="Times New Roman" w:cs="Times New Roman"/>
          <w:highlight w:val="none"/>
        </w:rPr>
        <w:t>言</w:t>
      </w:r>
      <w:r>
        <w:rPr>
          <w:highlight w:val="none"/>
        </w:rPr>
        <w:tab/>
      </w:r>
      <w:r>
        <w:rPr>
          <w:highlight w:val="none"/>
        </w:rPr>
        <w:fldChar w:fldCharType="begin"/>
      </w:r>
      <w:r>
        <w:rPr>
          <w:highlight w:val="none"/>
        </w:rPr>
        <w:instrText xml:space="preserve"> PAGEREF _Toc7083 </w:instrText>
      </w:r>
      <w:r>
        <w:rPr>
          <w:highlight w:val="none"/>
        </w:rPr>
        <w:fldChar w:fldCharType="separate"/>
      </w:r>
      <w:r>
        <w:rPr>
          <w:highlight w:val="none"/>
        </w:rPr>
        <w:t>II</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_Toc1664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1 </w:t>
      </w:r>
      <w:r>
        <w:rPr>
          <w:rFonts w:hint="default" w:ascii="Times New Roman" w:hAnsi="Times New Roman" w:cs="Times New Roman"/>
          <w:highlight w:val="none"/>
        </w:rPr>
        <w:t>范围</w:t>
      </w:r>
      <w:r>
        <w:rPr>
          <w:highlight w:val="none"/>
        </w:rPr>
        <w:tab/>
      </w:r>
      <w:r>
        <w:rPr>
          <w:highlight w:val="none"/>
        </w:rPr>
        <w:fldChar w:fldCharType="begin"/>
      </w:r>
      <w:r>
        <w:rPr>
          <w:highlight w:val="none"/>
        </w:rPr>
        <w:instrText xml:space="preserve"> PAGEREF _Toc1664 </w:instrText>
      </w:r>
      <w:r>
        <w:rPr>
          <w:highlight w:val="none"/>
        </w:rPr>
        <w:fldChar w:fldCharType="separate"/>
      </w:r>
      <w:r>
        <w:rPr>
          <w:highlight w:val="none"/>
        </w:rPr>
        <w:t>3</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_Toc16376 </w:instrText>
      </w:r>
      <w:r>
        <w:rPr>
          <w:rFonts w:hint="default" w:ascii="Times New Roman" w:hAnsi="Times New Roman" w:cs="Times New Roman"/>
          <w:highlight w:val="none"/>
        </w:rPr>
        <w:fldChar w:fldCharType="separate"/>
      </w:r>
      <w:r>
        <w:rPr>
          <w:rFonts w:hint="eastAsia" w:ascii="黑体" w:hAnsi="Times New Roman" w:eastAsia="黑体" w:cs="Times New Roman"/>
          <w:i w:val="0"/>
          <w:szCs w:val="22"/>
          <w:highlight w:val="none"/>
        </w:rPr>
        <w:t xml:space="preserve">2 </w:t>
      </w:r>
      <w:r>
        <w:rPr>
          <w:rFonts w:hint="default" w:ascii="Times New Roman" w:hAnsi="Times New Roman" w:cs="Times New Roman"/>
          <w:szCs w:val="22"/>
          <w:highlight w:val="none"/>
        </w:rPr>
        <w:t>规范性引用文件</w:t>
      </w:r>
      <w:r>
        <w:rPr>
          <w:highlight w:val="none"/>
        </w:rPr>
        <w:tab/>
      </w:r>
      <w:r>
        <w:rPr>
          <w:highlight w:val="none"/>
        </w:rPr>
        <w:fldChar w:fldCharType="begin"/>
      </w:r>
      <w:r>
        <w:rPr>
          <w:highlight w:val="none"/>
        </w:rPr>
        <w:instrText xml:space="preserve"> PAGEREF _Toc16376 </w:instrText>
      </w:r>
      <w:r>
        <w:rPr>
          <w:highlight w:val="none"/>
        </w:rPr>
        <w:fldChar w:fldCharType="separate"/>
      </w:r>
      <w:r>
        <w:rPr>
          <w:highlight w:val="none"/>
        </w:rPr>
        <w:t>3</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_Toc19483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3 </w:t>
      </w:r>
      <w:r>
        <w:rPr>
          <w:rFonts w:hint="default" w:ascii="Times New Roman" w:hAnsi="Times New Roman" w:cs="Times New Roman"/>
          <w:szCs w:val="21"/>
          <w:highlight w:val="none"/>
        </w:rPr>
        <w:t>术语和定义</w:t>
      </w:r>
      <w:r>
        <w:rPr>
          <w:highlight w:val="none"/>
        </w:rPr>
        <w:tab/>
      </w:r>
      <w:r>
        <w:rPr>
          <w:highlight w:val="none"/>
        </w:rPr>
        <w:fldChar w:fldCharType="begin"/>
      </w:r>
      <w:r>
        <w:rPr>
          <w:highlight w:val="none"/>
        </w:rPr>
        <w:instrText xml:space="preserve"> PAGEREF _Toc19483 </w:instrText>
      </w:r>
      <w:r>
        <w:rPr>
          <w:highlight w:val="none"/>
        </w:rPr>
        <w:fldChar w:fldCharType="separate"/>
      </w:r>
      <w:r>
        <w:rPr>
          <w:highlight w:val="none"/>
        </w:rPr>
        <w:t>3</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_Toc19134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4 </w:t>
      </w:r>
      <w:r>
        <w:rPr>
          <w:rFonts w:hint="default" w:ascii="Times New Roman" w:hAnsi="Times New Roman" w:cs="Times New Roman"/>
          <w:highlight w:val="none"/>
          <w:lang w:val="en-US" w:eastAsia="zh-CN"/>
        </w:rPr>
        <w:t>运行的</w:t>
      </w:r>
      <w:r>
        <w:rPr>
          <w:rFonts w:hint="default" w:ascii="Times New Roman" w:hAnsi="Times New Roman" w:cs="Times New Roman"/>
          <w:highlight w:val="none"/>
        </w:rPr>
        <w:t>基本要求</w:t>
      </w:r>
      <w:r>
        <w:rPr>
          <w:highlight w:val="none"/>
        </w:rPr>
        <w:tab/>
      </w:r>
      <w:r>
        <w:rPr>
          <w:highlight w:val="none"/>
        </w:rPr>
        <w:fldChar w:fldCharType="begin"/>
      </w:r>
      <w:r>
        <w:rPr>
          <w:highlight w:val="none"/>
        </w:rPr>
        <w:instrText xml:space="preserve"> PAGEREF _Toc19134 </w:instrText>
      </w:r>
      <w:r>
        <w:rPr>
          <w:highlight w:val="none"/>
        </w:rPr>
        <w:fldChar w:fldCharType="separate"/>
      </w:r>
      <w:r>
        <w:rPr>
          <w:highlight w:val="none"/>
        </w:rPr>
        <w:t>4</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_Toc16284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5 </w:t>
      </w:r>
      <w:r>
        <w:rPr>
          <w:rFonts w:hint="default" w:ascii="Times New Roman" w:hAnsi="Times New Roman" w:cs="Times New Roman"/>
          <w:highlight w:val="none"/>
          <w:lang w:val="en-US" w:eastAsia="zh-CN"/>
        </w:rPr>
        <w:t>车辆启动及驾驶操作</w:t>
      </w:r>
      <w:r>
        <w:rPr>
          <w:highlight w:val="none"/>
        </w:rPr>
        <w:tab/>
      </w:r>
      <w:r>
        <w:rPr>
          <w:highlight w:val="none"/>
        </w:rPr>
        <w:fldChar w:fldCharType="begin"/>
      </w:r>
      <w:r>
        <w:rPr>
          <w:highlight w:val="none"/>
        </w:rPr>
        <w:instrText xml:space="preserve"> PAGEREF _Toc16284 </w:instrText>
      </w:r>
      <w:r>
        <w:rPr>
          <w:highlight w:val="none"/>
        </w:rPr>
        <w:fldChar w:fldCharType="separate"/>
      </w:r>
      <w:r>
        <w:rPr>
          <w:highlight w:val="none"/>
        </w:rPr>
        <w:t>4</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_Toc16607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6 </w:t>
      </w:r>
      <w:r>
        <w:rPr>
          <w:rFonts w:hint="default" w:ascii="Times New Roman" w:hAnsi="Times New Roman" w:cs="Times New Roman"/>
          <w:highlight w:val="none"/>
          <w:lang w:val="en-US" w:eastAsia="zh-CN"/>
        </w:rPr>
        <w:t>车辆的停放与存放</w:t>
      </w:r>
      <w:r>
        <w:rPr>
          <w:highlight w:val="none"/>
        </w:rPr>
        <w:tab/>
      </w:r>
      <w:r>
        <w:rPr>
          <w:highlight w:val="none"/>
        </w:rPr>
        <w:fldChar w:fldCharType="begin"/>
      </w:r>
      <w:r>
        <w:rPr>
          <w:highlight w:val="none"/>
        </w:rPr>
        <w:instrText xml:space="preserve"> PAGEREF _Toc16607 </w:instrText>
      </w:r>
      <w:r>
        <w:rPr>
          <w:highlight w:val="none"/>
        </w:rPr>
        <w:fldChar w:fldCharType="separate"/>
      </w:r>
      <w:r>
        <w:rPr>
          <w:highlight w:val="none"/>
        </w:rPr>
        <w:t>4</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_Toc18164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7 </w:t>
      </w:r>
      <w:r>
        <w:rPr>
          <w:rFonts w:hint="default" w:ascii="Times New Roman" w:hAnsi="Times New Roman" w:cs="Times New Roman"/>
          <w:highlight w:val="none"/>
          <w:lang w:val="en-US" w:eastAsia="zh-CN"/>
        </w:rPr>
        <w:t>氢燃料加注</w:t>
      </w:r>
      <w:r>
        <w:rPr>
          <w:highlight w:val="none"/>
        </w:rPr>
        <w:tab/>
      </w:r>
      <w:r>
        <w:rPr>
          <w:highlight w:val="none"/>
        </w:rPr>
        <w:fldChar w:fldCharType="begin"/>
      </w:r>
      <w:r>
        <w:rPr>
          <w:highlight w:val="none"/>
        </w:rPr>
        <w:instrText xml:space="preserve"> PAGEREF _Toc18164 </w:instrText>
      </w:r>
      <w:r>
        <w:rPr>
          <w:highlight w:val="none"/>
        </w:rPr>
        <w:fldChar w:fldCharType="separate"/>
      </w:r>
      <w:r>
        <w:rPr>
          <w:highlight w:val="none"/>
        </w:rPr>
        <w:t>5</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_Toc23244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8 </w:t>
      </w:r>
      <w:r>
        <w:rPr>
          <w:rFonts w:hint="default" w:ascii="Times New Roman" w:hAnsi="Times New Roman" w:cs="Times New Roman"/>
          <w:highlight w:val="none"/>
          <w:lang w:val="en-US" w:eastAsia="zh-CN"/>
        </w:rPr>
        <w:t>日常检查与维护保养</w:t>
      </w:r>
      <w:r>
        <w:rPr>
          <w:highlight w:val="none"/>
        </w:rPr>
        <w:tab/>
      </w:r>
      <w:r>
        <w:rPr>
          <w:highlight w:val="none"/>
        </w:rPr>
        <w:fldChar w:fldCharType="begin"/>
      </w:r>
      <w:r>
        <w:rPr>
          <w:highlight w:val="none"/>
        </w:rPr>
        <w:instrText xml:space="preserve"> PAGEREF _Toc23244 </w:instrText>
      </w:r>
      <w:r>
        <w:rPr>
          <w:highlight w:val="none"/>
        </w:rPr>
        <w:fldChar w:fldCharType="separate"/>
      </w:r>
      <w:r>
        <w:rPr>
          <w:highlight w:val="none"/>
        </w:rPr>
        <w:t>5</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_Toc8681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9 </w:t>
      </w:r>
      <w:r>
        <w:rPr>
          <w:rFonts w:hint="default" w:ascii="Times New Roman" w:hAnsi="Times New Roman" w:cs="Times New Roman"/>
          <w:highlight w:val="none"/>
          <w:lang w:val="en-US" w:eastAsia="zh-CN"/>
        </w:rPr>
        <w:t>运行中危害的预防</w:t>
      </w:r>
      <w:r>
        <w:rPr>
          <w:highlight w:val="none"/>
        </w:rPr>
        <w:tab/>
      </w:r>
      <w:r>
        <w:rPr>
          <w:highlight w:val="none"/>
        </w:rPr>
        <w:fldChar w:fldCharType="begin"/>
      </w:r>
      <w:r>
        <w:rPr>
          <w:highlight w:val="none"/>
        </w:rPr>
        <w:instrText xml:space="preserve"> PAGEREF _Toc8681 </w:instrText>
      </w:r>
      <w:r>
        <w:rPr>
          <w:highlight w:val="none"/>
        </w:rPr>
        <w:fldChar w:fldCharType="separate"/>
      </w:r>
      <w:r>
        <w:rPr>
          <w:highlight w:val="none"/>
        </w:rPr>
        <w:t>7</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_Toc9679 </w:instrText>
      </w:r>
      <w:r>
        <w:rPr>
          <w:rFonts w:hint="default" w:ascii="Times New Roman" w:hAnsi="Times New Roman" w:cs="Times New Roman"/>
          <w:highlight w:val="none"/>
        </w:rPr>
        <w:fldChar w:fldCharType="separate"/>
      </w:r>
      <w:r>
        <w:rPr>
          <w:rFonts w:hint="eastAsia" w:ascii="黑体" w:hAnsi="Times New Roman" w:eastAsia="黑体" w:cs="Times New Roman"/>
          <w:i w:val="0"/>
          <w:highlight w:val="none"/>
        </w:rPr>
        <w:t xml:space="preserve">10 </w:t>
      </w:r>
      <w:r>
        <w:rPr>
          <w:rFonts w:hint="default" w:ascii="Times New Roman" w:hAnsi="Times New Roman" w:cs="Times New Roman"/>
          <w:highlight w:val="none"/>
        </w:rPr>
        <w:t>应急预案与演练、培训</w:t>
      </w:r>
      <w:r>
        <w:rPr>
          <w:highlight w:val="none"/>
        </w:rPr>
        <w:tab/>
      </w:r>
      <w:r>
        <w:rPr>
          <w:highlight w:val="none"/>
        </w:rPr>
        <w:fldChar w:fldCharType="begin"/>
      </w:r>
      <w:r>
        <w:rPr>
          <w:highlight w:val="none"/>
        </w:rPr>
        <w:instrText xml:space="preserve"> PAGEREF _Toc9679 </w:instrText>
      </w:r>
      <w:r>
        <w:rPr>
          <w:highlight w:val="none"/>
        </w:rPr>
        <w:fldChar w:fldCharType="separate"/>
      </w:r>
      <w:r>
        <w:rPr>
          <w:highlight w:val="none"/>
        </w:rPr>
        <w:t>7</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_Toc10970 </w:instrText>
      </w:r>
      <w:r>
        <w:rPr>
          <w:rFonts w:hint="default" w:ascii="Times New Roman" w:hAnsi="Times New Roman" w:cs="Times New Roman"/>
          <w:highlight w:val="none"/>
        </w:rPr>
        <w:fldChar w:fldCharType="separate"/>
      </w:r>
      <w:r>
        <w:rPr>
          <w:rFonts w:hint="eastAsia" w:ascii="黑体" w:hAnsi="Times New Roman" w:eastAsia="黑体" w:cs="Times New Roman"/>
          <w:i w:val="0"/>
          <w:szCs w:val="22"/>
          <w:highlight w:val="none"/>
          <w:lang w:val="en-US" w:eastAsia="zh-CN"/>
        </w:rPr>
        <w:t xml:space="preserve">11 </w:t>
      </w:r>
      <w:r>
        <w:rPr>
          <w:rFonts w:hint="default" w:ascii="Times New Roman" w:hAnsi="Times New Roman" w:cs="Times New Roman"/>
          <w:szCs w:val="22"/>
          <w:highlight w:val="none"/>
          <w:lang w:val="en-US" w:eastAsia="zh-CN"/>
        </w:rPr>
        <w:t>维修场地要求</w:t>
      </w:r>
      <w:r>
        <w:rPr>
          <w:highlight w:val="none"/>
        </w:rPr>
        <w:tab/>
      </w:r>
      <w:r>
        <w:rPr>
          <w:highlight w:val="none"/>
        </w:rPr>
        <w:fldChar w:fldCharType="begin"/>
      </w:r>
      <w:r>
        <w:rPr>
          <w:highlight w:val="none"/>
        </w:rPr>
        <w:instrText xml:space="preserve"> PAGEREF _Toc10970 </w:instrText>
      </w:r>
      <w:r>
        <w:rPr>
          <w:highlight w:val="none"/>
        </w:rPr>
        <w:fldChar w:fldCharType="separate"/>
      </w:r>
      <w:r>
        <w:rPr>
          <w:highlight w:val="none"/>
        </w:rPr>
        <w:t>8</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_Toc21559 </w:instrText>
      </w:r>
      <w:r>
        <w:rPr>
          <w:rFonts w:hint="default" w:ascii="Times New Roman" w:hAnsi="Times New Roman" w:cs="Times New Roman"/>
          <w:highlight w:val="none"/>
        </w:rPr>
        <w:fldChar w:fldCharType="separate"/>
      </w:r>
      <w:r>
        <w:rPr>
          <w:rFonts w:hint="eastAsia" w:ascii="黑体" w:hAnsi="Times New Roman" w:eastAsia="黑体" w:cs="Times New Roman"/>
          <w:i w:val="0"/>
          <w:szCs w:val="22"/>
          <w:highlight w:val="none"/>
          <w:lang w:val="en-US" w:eastAsia="zh-CN"/>
        </w:rPr>
        <w:t xml:space="preserve">12 </w:t>
      </w:r>
      <w:r>
        <w:rPr>
          <w:rFonts w:hint="default" w:ascii="Times New Roman" w:hAnsi="Times New Roman" w:cs="Times New Roman"/>
          <w:szCs w:val="22"/>
          <w:highlight w:val="none"/>
          <w:lang w:val="en-US" w:eastAsia="zh-CN"/>
        </w:rPr>
        <w:t>停车场地要求</w:t>
      </w:r>
      <w:r>
        <w:rPr>
          <w:highlight w:val="none"/>
        </w:rPr>
        <w:tab/>
      </w:r>
      <w:r>
        <w:rPr>
          <w:highlight w:val="none"/>
        </w:rPr>
        <w:fldChar w:fldCharType="begin"/>
      </w:r>
      <w:r>
        <w:rPr>
          <w:highlight w:val="none"/>
        </w:rPr>
        <w:instrText xml:space="preserve"> PAGEREF _Toc21559 </w:instrText>
      </w:r>
      <w:r>
        <w:rPr>
          <w:highlight w:val="none"/>
        </w:rPr>
        <w:fldChar w:fldCharType="separate"/>
      </w:r>
      <w:r>
        <w:rPr>
          <w:highlight w:val="none"/>
        </w:rPr>
        <w:t>8</w:t>
      </w:r>
      <w:r>
        <w:rPr>
          <w:highlight w:val="none"/>
        </w:rPr>
        <w:fldChar w:fldCharType="end"/>
      </w:r>
      <w:r>
        <w:rPr>
          <w:rFonts w:hint="default" w:ascii="Times New Roman" w:hAnsi="Times New Roman" w:cs="Times New Roman"/>
          <w:highlight w:val="none"/>
        </w:rPr>
        <w:fldChar w:fldCharType="end"/>
      </w:r>
    </w:p>
    <w:p>
      <w:pPr>
        <w:pStyle w:val="20"/>
        <w:tabs>
          <w:tab w:val="right" w:leader="dot" w:pos="9354"/>
        </w:tabs>
        <w:rPr>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\l _Toc11921 </w:instrText>
      </w:r>
      <w:r>
        <w:rPr>
          <w:rFonts w:hint="default" w:ascii="Times New Roman" w:hAnsi="Times New Roman" w:cs="Times New Roman"/>
          <w:highlight w:val="none"/>
        </w:rPr>
        <w:fldChar w:fldCharType="separate"/>
      </w:r>
      <w:r>
        <w:rPr>
          <w:rFonts w:hint="eastAsia" w:ascii="黑体" w:hAnsi="Times New Roman" w:eastAsia="黑体" w:cs="Times New Roman"/>
          <w:i w:val="0"/>
          <w:szCs w:val="22"/>
          <w:highlight w:val="none"/>
          <w:lang w:val="en-US" w:eastAsia="zh-CN"/>
        </w:rPr>
        <w:t xml:space="preserve">13 </w:t>
      </w:r>
      <w:r>
        <w:rPr>
          <w:rFonts w:hint="default" w:ascii="Times New Roman" w:hAnsi="Times New Roman" w:cs="Times New Roman"/>
          <w:szCs w:val="22"/>
          <w:highlight w:val="none"/>
          <w:lang w:val="en-US" w:eastAsia="zh-CN"/>
        </w:rPr>
        <w:t>车辆报废</w:t>
      </w:r>
      <w:r>
        <w:rPr>
          <w:highlight w:val="none"/>
        </w:rPr>
        <w:tab/>
      </w:r>
      <w:r>
        <w:rPr>
          <w:highlight w:val="none"/>
        </w:rPr>
        <w:fldChar w:fldCharType="begin"/>
      </w:r>
      <w:r>
        <w:rPr>
          <w:highlight w:val="none"/>
        </w:rPr>
        <w:instrText xml:space="preserve"> PAGEREF _Toc11921 </w:instrText>
      </w:r>
      <w:r>
        <w:rPr>
          <w:highlight w:val="none"/>
        </w:rPr>
        <w:fldChar w:fldCharType="separate"/>
      </w:r>
      <w:r>
        <w:rPr>
          <w:highlight w:val="none"/>
        </w:rPr>
        <w:t>8</w:t>
      </w:r>
      <w:r>
        <w:rPr>
          <w:highlight w:val="none"/>
        </w:rPr>
        <w:fldChar w:fldCharType="end"/>
      </w:r>
      <w:r>
        <w:rPr>
          <w:rFonts w:hint="default" w:ascii="Times New Roman" w:hAnsi="Times New Roman" w:cs="Times New Roman"/>
          <w:highlight w:val="none"/>
        </w:rPr>
        <w:fldChar w:fldCharType="end"/>
      </w:r>
    </w:p>
    <w:p>
      <w:pPr>
        <w:pStyle w:val="92"/>
        <w:spacing w:after="360"/>
        <w:rPr>
          <w:rFonts w:hint="default" w:ascii="Times New Roman" w:hAnsi="Times New Roman" w:cs="Times New Roman"/>
          <w:highlight w:val="none"/>
        </w:rPr>
        <w:sectPr>
          <w:headerReference r:id="rId8" w:type="default"/>
          <w:footerReference r:id="rId10" w:type="default"/>
          <w:headerReference r:id="rId9"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default" w:ascii="Times New Roman" w:hAnsi="Times New Roman" w:cs="Times New Roman"/>
          <w:highlight w:val="none"/>
        </w:rPr>
        <w:fldChar w:fldCharType="end"/>
      </w:r>
    </w:p>
    <w:bookmarkEnd w:id="5"/>
    <w:p>
      <w:pPr>
        <w:pStyle w:val="90"/>
        <w:numPr>
          <w:ilvl w:val="0"/>
          <w:numId w:val="0"/>
        </w:numPr>
        <w:spacing w:after="360"/>
        <w:ind w:leftChars="0"/>
        <w:jc w:val="center"/>
        <w:rPr>
          <w:rFonts w:hint="default" w:ascii="Times New Roman" w:hAnsi="Times New Roman" w:cs="Times New Roman"/>
          <w:highlight w:val="none"/>
        </w:rPr>
      </w:pPr>
      <w:bookmarkStart w:id="11" w:name="_Toc7083"/>
      <w:bookmarkStart w:id="12" w:name="BookMark2"/>
      <w:r>
        <w:rPr>
          <w:rFonts w:hint="default" w:ascii="Times New Roman" w:hAnsi="Times New Roman" w:cs="Times New Roman"/>
          <w:spacing w:val="320"/>
          <w:highlight w:val="none"/>
        </w:rPr>
        <w:t>前</w:t>
      </w:r>
      <w:r>
        <w:rPr>
          <w:rFonts w:hint="default" w:ascii="Times New Roman" w:hAnsi="Times New Roman" w:cs="Times New Roman"/>
          <w:highlight w:val="none"/>
        </w:rPr>
        <w:t>言</w:t>
      </w:r>
      <w:bookmarkEnd w:id="6"/>
      <w:bookmarkEnd w:id="7"/>
      <w:bookmarkEnd w:id="8"/>
      <w:bookmarkEnd w:id="9"/>
      <w:bookmarkEnd w:id="10"/>
      <w:bookmarkEnd w:id="11"/>
    </w:p>
    <w:p>
      <w:pPr>
        <w:pStyle w:val="57"/>
        <w:ind w:firstLine="420"/>
        <w:rPr>
          <w:rFonts w:hint="default" w:ascii="Times New Roman" w:hAnsi="Times New Roman" w:cs="Times New Roman"/>
          <w:highlight w:val="none"/>
        </w:rPr>
      </w:pPr>
      <w:r>
        <w:rPr>
          <w:rFonts w:hint="default" w:ascii="Times New Roman" w:hAnsi="Times New Roman" w:cs="Times New Roman"/>
          <w:highlight w:val="none"/>
        </w:rPr>
        <w:t>本文件按照GB/T 1.1—2020《标准化工作导则  第1部分：标准化文件的结构和起草规则》的规定起草。</w:t>
      </w:r>
    </w:p>
    <w:p>
      <w:pPr>
        <w:pStyle w:val="57"/>
        <w:ind w:firstLine="420"/>
        <w:rPr>
          <w:rFonts w:hint="default" w:ascii="Times New Roman" w:hAnsi="Times New Roman" w:cs="Times New Roman"/>
          <w:highlight w:val="none"/>
        </w:rPr>
      </w:pPr>
      <w:r>
        <w:rPr>
          <w:rFonts w:hint="default" w:ascii="Times New Roman" w:hAnsi="Times New Roman" w:cs="Times New Roman"/>
          <w:highlight w:val="none"/>
        </w:rPr>
        <w:t>请注意本文件的某些内容可能涉及专利。本文件的发布机构不承担识别专利的责任。</w:t>
      </w:r>
    </w:p>
    <w:p>
      <w:pPr>
        <w:pStyle w:val="57"/>
        <w:ind w:firstLine="420"/>
        <w:rPr>
          <w:rFonts w:hint="default" w:ascii="Times New Roman" w:hAnsi="Times New Roman" w:eastAsia="宋体" w:cs="Times New Roman"/>
          <w:szCs w:val="22"/>
          <w:highlight w:val="none"/>
          <w:lang w:eastAsia="zh-CN"/>
        </w:rPr>
      </w:pPr>
      <w:r>
        <w:rPr>
          <w:rFonts w:hint="default" w:ascii="Times New Roman" w:hAnsi="Times New Roman" w:eastAsia="宋体" w:cs="Times New Roman"/>
          <w:szCs w:val="22"/>
          <w:highlight w:val="none"/>
        </w:rPr>
        <w:t>本文件由</w:t>
      </w:r>
      <w:r>
        <w:rPr>
          <w:rFonts w:hint="default" w:ascii="Times New Roman" w:hAnsi="Times New Roman" w:eastAsia="宋体" w:cs="Times New Roman"/>
          <w:szCs w:val="22"/>
          <w:highlight w:val="none"/>
          <w:lang w:eastAsia="zh-CN"/>
        </w:rPr>
        <w:t>大连市氢能产业发展促进协会</w:t>
      </w:r>
      <w:r>
        <w:rPr>
          <w:rFonts w:hint="default" w:ascii="Times New Roman" w:hAnsi="Times New Roman" w:eastAsia="宋体" w:cs="Times New Roman"/>
          <w:szCs w:val="22"/>
          <w:highlight w:val="none"/>
        </w:rPr>
        <w:t>提出</w:t>
      </w:r>
      <w:r>
        <w:rPr>
          <w:rFonts w:hint="default" w:ascii="Times New Roman" w:hAnsi="Times New Roman" w:eastAsia="宋体" w:cs="Times New Roman"/>
          <w:szCs w:val="22"/>
          <w:highlight w:val="none"/>
          <w:lang w:eastAsia="zh-CN"/>
        </w:rPr>
        <w:t>。</w:t>
      </w:r>
    </w:p>
    <w:p>
      <w:pPr>
        <w:pStyle w:val="57"/>
        <w:ind w:firstLine="420"/>
        <w:rPr>
          <w:rFonts w:hint="default" w:ascii="Times New Roman" w:hAnsi="Times New Roman" w:eastAsia="宋体" w:cs="Times New Roman"/>
          <w:szCs w:val="22"/>
          <w:highlight w:val="none"/>
        </w:rPr>
      </w:pPr>
      <w:r>
        <w:rPr>
          <w:rFonts w:hint="default" w:ascii="Times New Roman" w:hAnsi="Times New Roman" w:eastAsia="宋体" w:cs="Times New Roman"/>
          <w:szCs w:val="22"/>
          <w:highlight w:val="none"/>
        </w:rPr>
        <w:t>本文件由</w:t>
      </w:r>
      <w:r>
        <w:rPr>
          <w:rFonts w:hint="default" w:ascii="Times New Roman" w:hAnsi="Times New Roman" w:eastAsia="宋体" w:cs="Times New Roman"/>
          <w:szCs w:val="22"/>
          <w:highlight w:val="none"/>
          <w:lang w:eastAsia="zh-CN"/>
        </w:rPr>
        <w:t>大连市氢能产业发展促进协会</w:t>
      </w:r>
      <w:r>
        <w:rPr>
          <w:rFonts w:hint="default" w:ascii="Times New Roman" w:hAnsi="Times New Roman" w:eastAsia="宋体" w:cs="Times New Roman"/>
          <w:szCs w:val="22"/>
          <w:highlight w:val="none"/>
        </w:rPr>
        <w:t>归口。</w:t>
      </w:r>
    </w:p>
    <w:p>
      <w:pPr>
        <w:pStyle w:val="57"/>
        <w:ind w:firstLine="420"/>
        <w:rPr>
          <w:rFonts w:hint="default" w:ascii="Times New Roman" w:hAnsi="Times New Roman" w:eastAsia="宋体" w:cs="Times New Roman"/>
          <w:szCs w:val="22"/>
          <w:highlight w:val="none"/>
          <w:lang w:eastAsia="zh-CN"/>
        </w:rPr>
      </w:pPr>
      <w:r>
        <w:rPr>
          <w:rFonts w:hint="default" w:ascii="Times New Roman" w:hAnsi="Times New Roman" w:eastAsia="宋体" w:cs="Times New Roman"/>
          <w:szCs w:val="22"/>
          <w:highlight w:val="none"/>
        </w:rPr>
        <w:t>本文件起草单位：</w:t>
      </w:r>
      <w:r>
        <w:rPr>
          <w:rFonts w:hint="default" w:ascii="Times New Roman" w:hAnsi="Times New Roman" w:eastAsia="宋体" w:cs="Times New Roman"/>
          <w:szCs w:val="22"/>
          <w:highlight w:val="none"/>
          <w:lang w:eastAsia="zh-CN"/>
        </w:rPr>
        <w:t>。</w:t>
      </w:r>
    </w:p>
    <w:p>
      <w:pPr>
        <w:pStyle w:val="57"/>
        <w:ind w:firstLine="420"/>
        <w:rPr>
          <w:rFonts w:hint="default" w:ascii="Times New Roman" w:hAnsi="Times New Roman" w:cs="Times New Roman"/>
          <w:highlight w:val="none"/>
        </w:rPr>
      </w:pPr>
      <w:r>
        <w:rPr>
          <w:rFonts w:hint="default" w:ascii="Times New Roman" w:hAnsi="Times New Roman" w:cs="Times New Roman"/>
          <w:highlight w:val="none"/>
        </w:rPr>
        <w:t>本文件主要起草人：。</w:t>
      </w:r>
    </w:p>
    <w:p>
      <w:pPr>
        <w:pStyle w:val="57"/>
        <w:ind w:firstLine="420"/>
        <w:rPr>
          <w:rFonts w:hint="default" w:ascii="Times New Roman" w:hAnsi="Times New Roman" w:cs="Times New Roman"/>
          <w:highlight w:val="none"/>
        </w:rPr>
      </w:pPr>
    </w:p>
    <w:p>
      <w:pPr>
        <w:pStyle w:val="57"/>
        <w:ind w:firstLine="420"/>
        <w:rPr>
          <w:rFonts w:hint="default" w:ascii="Times New Roman" w:hAnsi="Times New Roman" w:cs="Times New Roman"/>
          <w:highlight w:val="none"/>
        </w:rPr>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12"/>
    <w:p>
      <w:pPr>
        <w:spacing w:line="20" w:lineRule="exact"/>
        <w:jc w:val="center"/>
        <w:rPr>
          <w:rFonts w:hint="default" w:ascii="Times New Roman" w:hAnsi="Times New Roman" w:eastAsia="黑体" w:cs="Times New Roman"/>
          <w:sz w:val="32"/>
          <w:szCs w:val="32"/>
          <w:highlight w:val="none"/>
        </w:rPr>
      </w:pPr>
      <w:bookmarkStart w:id="13" w:name="BookMark4"/>
    </w:p>
    <w:p>
      <w:pPr>
        <w:spacing w:line="20" w:lineRule="exact"/>
        <w:jc w:val="center"/>
        <w:rPr>
          <w:rFonts w:hint="default" w:ascii="Times New Roman" w:hAnsi="Times New Roman" w:eastAsia="黑体" w:cs="Times New Roman"/>
          <w:sz w:val="32"/>
          <w:szCs w:val="32"/>
          <w:highlight w:val="none"/>
        </w:rPr>
      </w:pPr>
    </w:p>
    <w:sdt>
      <w:sdtPr>
        <w:rPr>
          <w:rFonts w:hint="default" w:ascii="Times New Roman" w:hAnsi="Times New Roman" w:cs="Times New Roman"/>
          <w:highlight w:val="none"/>
        </w:rPr>
        <w:tag w:val="NEW_STAND_NAME"/>
        <w:id w:val="595910757"/>
        <w:lock w:val="sdtLocked"/>
        <w:placeholder>
          <w:docPart w:val="B4ED0C65FCA0444FB3BBDA4F170648AB"/>
        </w:placeholder>
      </w:sdtPr>
      <w:sdtEndPr>
        <w:rPr>
          <w:rFonts w:hint="default" w:ascii="Times New Roman" w:hAnsi="Times New Roman" w:cs="Times New Roman"/>
          <w:highlight w:val="none"/>
        </w:rPr>
      </w:sdtEndPr>
      <w:sdtContent>
        <w:p>
          <w:pPr>
            <w:pStyle w:val="178"/>
            <w:rPr>
              <w:rFonts w:hint="default" w:ascii="Times New Roman" w:hAnsi="Times New Roman" w:cs="Times New Roman"/>
              <w:highlight w:val="none"/>
            </w:rPr>
          </w:pPr>
          <w:bookmarkStart w:id="14" w:name="NEW_STAND_NAME"/>
          <w:r>
            <w:rPr>
              <w:rFonts w:hint="default" w:ascii="Times New Roman" w:hAnsi="Times New Roman" w:cs="Times New Roman"/>
              <w:highlight w:val="none"/>
              <w:lang w:val="en-US" w:eastAsia="zh-CN"/>
            </w:rPr>
            <w:t>氢燃料电池</w:t>
          </w:r>
          <w:r>
            <w:rPr>
              <w:rFonts w:hint="default" w:ascii="Times New Roman" w:hAnsi="Times New Roman" w:cs="Times New Roman"/>
              <w:highlight w:val="none"/>
              <w:lang w:val="en-US" w:eastAsia="zh-CN"/>
            </w:rPr>
            <w:t>电动</w:t>
          </w:r>
          <w:r>
            <w:rPr>
              <w:rFonts w:hint="default" w:ascii="Times New Roman" w:hAnsi="Times New Roman" w:cs="Times New Roman"/>
              <w:highlight w:val="none"/>
              <w:lang w:val="en-US" w:eastAsia="zh-CN"/>
            </w:rPr>
            <w:t>商用车运行</w:t>
          </w:r>
          <w:r>
            <w:rPr>
              <w:rFonts w:hint="default" w:ascii="Times New Roman" w:hAnsi="Times New Roman" w:cs="Times New Roman"/>
              <w:highlight w:val="none"/>
            </w:rPr>
            <w:t>规范</w:t>
          </w:r>
        </w:p>
      </w:sdtContent>
    </w:sdt>
    <w:bookmarkEnd w:id="14"/>
    <w:p>
      <w:pPr>
        <w:pStyle w:val="105"/>
        <w:spacing w:before="240" w:after="240"/>
        <w:rPr>
          <w:rFonts w:hint="default" w:ascii="Times New Roman" w:hAnsi="Times New Roman" w:cs="Times New Roman"/>
          <w:highlight w:val="none"/>
        </w:rPr>
      </w:pPr>
      <w:bookmarkStart w:id="15" w:name="_Toc24884218"/>
      <w:bookmarkStart w:id="16" w:name="_Toc17233325"/>
      <w:bookmarkStart w:id="17" w:name="_Toc1664"/>
      <w:bookmarkStart w:id="18" w:name="_Toc24884211"/>
      <w:bookmarkStart w:id="19" w:name="_Toc97192964"/>
      <w:bookmarkStart w:id="20" w:name="_Toc26718930"/>
      <w:bookmarkStart w:id="21" w:name="_Toc115354676"/>
      <w:bookmarkStart w:id="22" w:name="_Toc111031880"/>
      <w:bookmarkStart w:id="23" w:name="_Toc26986771"/>
      <w:bookmarkStart w:id="24" w:name="_Toc17233333"/>
      <w:bookmarkStart w:id="25" w:name="_Toc115354644"/>
      <w:bookmarkStart w:id="26" w:name="_Toc26986530"/>
      <w:bookmarkStart w:id="27" w:name="_Toc110851045"/>
      <w:bookmarkStart w:id="28" w:name="_Toc115354276"/>
      <w:bookmarkStart w:id="29" w:name="_Toc26648465"/>
      <w:r>
        <w:rPr>
          <w:rFonts w:hint="default" w:ascii="Times New Roman" w:hAnsi="Times New Roman" w:cs="Times New Roman"/>
          <w:highlight w:val="none"/>
        </w:rPr>
        <w:t>范围</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231"/>
        <w:rPr>
          <w:rFonts w:hint="default" w:ascii="Times New Roman" w:hAnsi="Times New Roman" w:cs="Times New Roman"/>
          <w:highlight w:val="none"/>
          <w:lang w:val="en-US" w:eastAsia="zh-CN"/>
        </w:rPr>
      </w:pPr>
      <w:bookmarkStart w:id="30" w:name="_Hlk111019616"/>
      <w:bookmarkStart w:id="31" w:name="_Toc26648466"/>
      <w:bookmarkStart w:id="32" w:name="_Toc17233326"/>
      <w:bookmarkStart w:id="33" w:name="_Toc17233334"/>
      <w:bookmarkStart w:id="34" w:name="_Toc24884219"/>
      <w:bookmarkStart w:id="35" w:name="_Toc24884212"/>
      <w:r>
        <w:rPr>
          <w:rFonts w:hint="default" w:ascii="Times New Roman" w:hAnsi="Times New Roman" w:cs="Times New Roman"/>
          <w:highlight w:val="none"/>
        </w:rPr>
        <w:t>本标准规定了氢燃料电池</w:t>
      </w:r>
      <w:r>
        <w:rPr>
          <w:rFonts w:hint="default" w:ascii="Times New Roman" w:hAnsi="Times New Roman" w:cs="Times New Roman"/>
          <w:highlight w:val="none"/>
          <w:lang w:val="en-US" w:eastAsia="zh-CN"/>
        </w:rPr>
        <w:t>电动</w:t>
      </w:r>
      <w:r>
        <w:rPr>
          <w:rFonts w:hint="default" w:ascii="Times New Roman" w:hAnsi="Times New Roman" w:cs="Times New Roman"/>
          <w:highlight w:val="none"/>
          <w:lang w:val="en-US" w:eastAsia="zh-CN"/>
        </w:rPr>
        <w:t>商用车的术语和定义、运行的基本条件、车辆启动及驾驶操作、车辆的停放与存放、氢燃料加注、燃料电池系统与车载储氢系统等的日常检查与维护保养、车辆运行中危害的预防、应急预案与演练及培训、车辆维护保养、维修场地要求、停车场地要求、车辆报废。</w:t>
      </w:r>
    </w:p>
    <w:bookmarkEnd w:id="30"/>
    <w:p>
      <w:pPr>
        <w:pStyle w:val="57"/>
        <w:ind w:firstLine="420"/>
        <w:rPr>
          <w:rFonts w:hint="default" w:ascii="Times New Roman" w:hAnsi="Times New Roman" w:cs="Times New Roman"/>
          <w:highlight w:val="none"/>
        </w:rPr>
      </w:pPr>
      <w:r>
        <w:rPr>
          <w:rFonts w:hint="default" w:ascii="Times New Roman" w:hAnsi="Times New Roman" w:cs="Times New Roman"/>
          <w:highlight w:val="none"/>
        </w:rPr>
        <w:t>本文件适用于车载供氢系统的公称工作压力不大于70MPa的氢燃料电池</w:t>
      </w:r>
      <w:r>
        <w:rPr>
          <w:rFonts w:hint="eastAsia" w:ascii="Times New Roman" w:cs="Times New Roman"/>
          <w:highlight w:val="none"/>
          <w:lang w:val="en-US" w:eastAsia="zh-CN"/>
        </w:rPr>
        <w:t>电动</w:t>
      </w:r>
      <w:r>
        <w:rPr>
          <w:rFonts w:hint="default" w:ascii="Times New Roman" w:hAnsi="Times New Roman" w:cs="Times New Roman"/>
          <w:highlight w:val="none"/>
        </w:rPr>
        <w:t>商用汽车。</w:t>
      </w:r>
    </w:p>
    <w:p>
      <w:pPr>
        <w:pStyle w:val="105"/>
        <w:spacing w:before="240" w:after="240"/>
        <w:rPr>
          <w:rFonts w:hint="default" w:ascii="Times New Roman" w:hAnsi="Times New Roman" w:cs="Times New Roman"/>
          <w:szCs w:val="22"/>
          <w:highlight w:val="none"/>
        </w:rPr>
      </w:pPr>
      <w:bookmarkStart w:id="36" w:name="_Toc26986772"/>
      <w:bookmarkStart w:id="37" w:name="_Toc26986531"/>
      <w:bookmarkStart w:id="38" w:name="_Toc97192965"/>
      <w:bookmarkStart w:id="39" w:name="_Toc115354677"/>
      <w:bookmarkStart w:id="40" w:name="_Toc110851046"/>
      <w:bookmarkStart w:id="41" w:name="_Toc111031881"/>
      <w:bookmarkStart w:id="42" w:name="_Toc115354645"/>
      <w:bookmarkStart w:id="43" w:name="_Toc115354277"/>
      <w:bookmarkStart w:id="44" w:name="_Toc16376"/>
      <w:bookmarkStart w:id="45" w:name="_Toc26718931"/>
      <w:r>
        <w:rPr>
          <w:rFonts w:hint="default" w:ascii="Times New Roman" w:hAnsi="Times New Roman" w:cs="Times New Roman"/>
          <w:szCs w:val="22"/>
          <w:highlight w:val="none"/>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7"/>
        <w:ind w:firstLine="420"/>
        <w:rPr>
          <w:rFonts w:hint="default" w:ascii="Times New Roman" w:hAnsi="Times New Roman" w:cs="Times New Roman"/>
          <w:highlight w:val="none"/>
        </w:rPr>
      </w:pPr>
      <w:r>
        <w:rPr>
          <w:rFonts w:hint="default" w:ascii="Times New Roman" w:hAnsi="Times New Roman" w:cs="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24548 燃料电池电动汽车 术语</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3730.1 汽车和挂车类型的术语和定义</w:t>
      </w:r>
    </w:p>
    <w:p>
      <w:pPr>
        <w:pStyle w:val="57"/>
        <w:ind w:firstLine="420"/>
        <w:rPr>
          <w:rFonts w:hint="default" w:ascii="Times New Roman" w:hAnsi="Times New Roman" w:eastAsia="宋体" w:cs="Times New Roman"/>
          <w:color w:val="auto"/>
          <w:szCs w:val="22"/>
          <w:highlight w:val="none"/>
          <w:lang w:val="en-US" w:eastAsia="zh-CN"/>
        </w:rPr>
      </w:pPr>
      <w:r>
        <w:rPr>
          <w:rFonts w:hint="default" w:ascii="Times New Roman" w:hAnsi="Times New Roman" w:cs="Times New Roman"/>
          <w:color w:val="auto"/>
          <w:highlight w:val="none"/>
        </w:rPr>
        <w:t>GB 7258  机动车运行安全技术条件</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cs="Times New Roman"/>
          <w:color w:val="auto"/>
          <w:highlight w:val="none"/>
        </w:rPr>
        <w:t>GB 13094  客车结构安全要求</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15089 机动车辆及挂车分类</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17350 专用汽车和专用挂车术语、代号和编制方法</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4780 汽车车身术语</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24549 燃料电池电动汽车 安全要求</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32960.3 电动汽车远程服务与管理系统技术规范 第3部分：通信协议及数据格式</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29124 氢燃料电池电动汽车示范运行配套设施规范</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2912</w:t>
      </w:r>
      <w:r>
        <w:rPr>
          <w:rFonts w:hint="default" w:ascii="Times New Roman" w:hAnsi="Times New Roman" w:cs="Times New Roman"/>
          <w:color w:val="000000" w:themeColor="text1"/>
          <w:szCs w:val="22"/>
          <w:highlight w:val="none"/>
          <w:lang w:val="en-US" w:eastAsia="zh-CN"/>
        </w:rPr>
        <w:t>3</w:t>
      </w:r>
      <w:r>
        <w:rPr>
          <w:rFonts w:hint="default" w:ascii="Times New Roman" w:hAnsi="Times New Roman" w:eastAsia="宋体" w:cs="Times New Roman"/>
          <w:color w:val="000000" w:themeColor="text1"/>
          <w:szCs w:val="22"/>
          <w:highlight w:val="none"/>
          <w:lang w:val="en-US" w:eastAsia="zh-CN"/>
        </w:rPr>
        <w:t xml:space="preserve"> </w:t>
      </w:r>
      <w:r>
        <w:rPr>
          <w:rFonts w:hint="default" w:ascii="Times New Roman" w:hAnsi="Times New Roman" w:cs="Times New Roman"/>
          <w:color w:val="000000" w:themeColor="text1"/>
          <w:szCs w:val="22"/>
          <w:highlight w:val="none"/>
          <w:lang w:val="en-US" w:eastAsia="zh-CN"/>
        </w:rPr>
        <w:t>示范运行</w:t>
      </w:r>
      <w:r>
        <w:rPr>
          <w:rFonts w:hint="default" w:ascii="Times New Roman" w:hAnsi="Times New Roman" w:eastAsia="宋体" w:cs="Times New Roman"/>
          <w:color w:val="000000" w:themeColor="text1"/>
          <w:szCs w:val="22"/>
          <w:highlight w:val="none"/>
          <w:lang w:val="en-US" w:eastAsia="zh-CN"/>
        </w:rPr>
        <w:t>氢燃料电池电动汽车</w:t>
      </w:r>
      <w:r>
        <w:rPr>
          <w:rFonts w:hint="default" w:ascii="Times New Roman" w:hAnsi="Times New Roman" w:cs="Times New Roman"/>
          <w:color w:val="000000" w:themeColor="text1"/>
          <w:szCs w:val="22"/>
          <w:highlight w:val="none"/>
          <w:lang w:val="en-US" w:eastAsia="zh-CN"/>
        </w:rPr>
        <w:t>技术规范</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26779 燃料电池电动汽车 加氢口</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18344 汽车维护、检测、诊断技术规范</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26990 燃料电池电动汽车 车载氢系统技术要求</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15746 汽车维修质量检查评定方法</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GB/T 16739.1 汽车维修业经营业务条件 第1部分：汽车整车维修企业</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eastAsia="宋体" w:cs="Times New Roman"/>
          <w:color w:val="000000" w:themeColor="text1"/>
          <w:szCs w:val="22"/>
          <w:highlight w:val="none"/>
          <w:lang w:val="en-US" w:eastAsia="zh-CN"/>
        </w:rPr>
        <w:t>GB 12348 工业企业厂界环境噪声排放标准</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cs="Times New Roman"/>
          <w:color w:val="000000" w:themeColor="text1"/>
          <w:szCs w:val="22"/>
          <w:highlight w:val="none"/>
          <w:lang w:val="en-US" w:eastAsia="zh-CN"/>
        </w:rPr>
        <w:t>JT/T 1344  纯电动</w:t>
      </w:r>
      <w:r>
        <w:rPr>
          <w:rFonts w:hint="default" w:ascii="Times New Roman" w:hAnsi="Times New Roman" w:eastAsia="宋体" w:cs="Times New Roman"/>
          <w:color w:val="000000" w:themeColor="text1"/>
          <w:szCs w:val="22"/>
          <w:highlight w:val="none"/>
          <w:lang w:val="en-US" w:eastAsia="zh-CN"/>
        </w:rPr>
        <w:t>汽车维护、检测、诊断技术规范</w:t>
      </w:r>
    </w:p>
    <w:p>
      <w:pPr>
        <w:pStyle w:val="57"/>
        <w:ind w:firstLine="420"/>
        <w:rPr>
          <w:rFonts w:hint="default" w:ascii="Times New Roman" w:hAnsi="Times New Roman" w:cs="Times New Roman"/>
          <w:color w:val="000000" w:themeColor="text1"/>
          <w:szCs w:val="22"/>
          <w:highlight w:val="none"/>
        </w:rPr>
      </w:pPr>
      <w:r>
        <w:rPr>
          <w:rFonts w:hint="default" w:ascii="Times New Roman" w:hAnsi="Times New Roman" w:cs="Times New Roman"/>
          <w:color w:val="000000" w:themeColor="text1"/>
          <w:szCs w:val="22"/>
          <w:highlight w:val="none"/>
        </w:rPr>
        <w:t>GB 18384 电动汽车安全要求</w:t>
      </w:r>
    </w:p>
    <w:p>
      <w:pPr>
        <w:pStyle w:val="57"/>
        <w:ind w:firstLine="420"/>
        <w:rPr>
          <w:rFonts w:hint="default" w:ascii="Times New Roman" w:hAnsi="Times New Roman" w:cs="Times New Roman"/>
          <w:color w:val="000000" w:themeColor="text1"/>
          <w:szCs w:val="22"/>
          <w:highlight w:val="none"/>
        </w:rPr>
      </w:pPr>
      <w:r>
        <w:rPr>
          <w:rFonts w:hint="default" w:ascii="Times New Roman" w:hAnsi="Times New Roman" w:cs="Times New Roman"/>
          <w:color w:val="000000" w:themeColor="text1"/>
          <w:szCs w:val="22"/>
          <w:highlight w:val="none"/>
        </w:rPr>
        <w:t>GB 7258《机动车运行安全技术条件》</w:t>
      </w:r>
    </w:p>
    <w:p>
      <w:pPr>
        <w:pStyle w:val="57"/>
        <w:ind w:firstLine="420"/>
        <w:rPr>
          <w:rFonts w:hint="default" w:ascii="Times New Roman" w:hAnsi="Times New Roman" w:cs="Times New Roman"/>
          <w:color w:val="000000" w:themeColor="text1"/>
          <w:szCs w:val="22"/>
          <w:highlight w:val="none"/>
        </w:rPr>
      </w:pPr>
      <w:r>
        <w:rPr>
          <w:rFonts w:hint="default" w:ascii="Times New Roman" w:hAnsi="Times New Roman" w:cs="Times New Roman"/>
          <w:color w:val="000000" w:themeColor="text1"/>
          <w:szCs w:val="22"/>
          <w:highlight w:val="none"/>
        </w:rPr>
        <w:t>GBT43252燃料电池电动汽车能量消耗量及续驶里程试验方法</w:t>
      </w:r>
    </w:p>
    <w:p>
      <w:pPr>
        <w:pStyle w:val="57"/>
        <w:ind w:firstLine="420"/>
        <w:rPr>
          <w:rFonts w:hint="default" w:ascii="Times New Roman" w:hAnsi="Times New Roman" w:eastAsia="宋体" w:cs="Times New Roman"/>
          <w:color w:val="000000" w:themeColor="text1"/>
          <w:szCs w:val="22"/>
          <w:highlight w:val="none"/>
          <w:lang w:val="en-US" w:eastAsia="zh-CN"/>
        </w:rPr>
      </w:pPr>
      <w:r>
        <w:rPr>
          <w:rFonts w:hint="default" w:ascii="Times New Roman" w:hAnsi="Times New Roman" w:cs="Times New Roman"/>
          <w:color w:val="000000" w:themeColor="text1"/>
          <w:szCs w:val="22"/>
          <w:highlight w:val="none"/>
        </w:rPr>
        <w:t>GBT43255燃料电池电动汽车低温冷起动性能试验方法</w:t>
      </w:r>
    </w:p>
    <w:p>
      <w:pPr>
        <w:pStyle w:val="105"/>
        <w:spacing w:before="240" w:after="240"/>
        <w:rPr>
          <w:rFonts w:hint="default" w:ascii="Times New Roman" w:hAnsi="Times New Roman" w:cs="Times New Roman"/>
          <w:color w:val="000000" w:themeColor="text1"/>
          <w:highlight w:val="none"/>
        </w:rPr>
      </w:pPr>
      <w:bookmarkStart w:id="46" w:name="_Toc110851047"/>
      <w:bookmarkStart w:id="47" w:name="_Toc97192966"/>
      <w:bookmarkStart w:id="48" w:name="_Toc115354678"/>
      <w:bookmarkStart w:id="49" w:name="_Toc111031882"/>
      <w:bookmarkStart w:id="50" w:name="_Toc115354278"/>
      <w:bookmarkStart w:id="51" w:name="_Toc19483"/>
      <w:bookmarkStart w:id="52" w:name="_Toc115354646"/>
      <w:r>
        <w:rPr>
          <w:rFonts w:hint="default" w:ascii="Times New Roman" w:hAnsi="Times New Roman" w:cs="Times New Roman"/>
          <w:color w:val="000000" w:themeColor="text1"/>
          <w:szCs w:val="21"/>
          <w:highlight w:val="none"/>
        </w:rPr>
        <w:t>术语和定义</w:t>
      </w:r>
      <w:bookmarkEnd w:id="46"/>
      <w:bookmarkEnd w:id="47"/>
      <w:bookmarkEnd w:id="48"/>
      <w:bookmarkEnd w:id="49"/>
      <w:bookmarkEnd w:id="50"/>
      <w:bookmarkEnd w:id="51"/>
      <w:bookmarkEnd w:id="52"/>
    </w:p>
    <w:p>
      <w:pPr>
        <w:pStyle w:val="57"/>
        <w:ind w:firstLine="420"/>
        <w:rPr>
          <w:rFonts w:hint="default" w:ascii="Times New Roman" w:hAnsi="Times New Roman" w:eastAsia="宋体" w:cs="Times New Roman"/>
          <w:color w:val="auto"/>
          <w:szCs w:val="22"/>
          <w:highlight w:val="none"/>
          <w:lang w:val="en-US" w:eastAsia="zh-CN"/>
        </w:rPr>
      </w:pPr>
      <w:bookmarkStart w:id="53" w:name="_Toc26986532"/>
      <w:bookmarkEnd w:id="53"/>
      <w:r>
        <w:rPr>
          <w:rFonts w:hint="default" w:ascii="Times New Roman" w:hAnsi="Times New Roman" w:eastAsia="宋体" w:cs="Times New Roman"/>
          <w:color w:val="auto"/>
          <w:szCs w:val="22"/>
          <w:highlight w:val="none"/>
          <w:lang w:val="en-US" w:eastAsia="zh-CN"/>
        </w:rPr>
        <w:t>GB/T 24548、GB/T 3730.1、GB/T 15089、GB/T 17350、GB/T 4780、GB/T 18344界定的以及下列术语和定义适用于本文件。</w:t>
      </w:r>
    </w:p>
    <w:p>
      <w:pPr>
        <w:pStyle w:val="224"/>
        <w:ind w:left="420" w:hanging="420" w:hanging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br w:type="textWrapping"/>
      </w:r>
      <w:r>
        <w:rPr>
          <w:rFonts w:hint="default" w:ascii="Times New Roman" w:hAnsi="Times New Roman" w:eastAsia="黑体" w:cs="Times New Roman"/>
          <w:color w:val="auto"/>
          <w:highlight w:val="none"/>
          <w:lang w:val="en-US" w:eastAsia="zh-CN"/>
        </w:rPr>
        <w:t>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黑体" w:cs="Times New Roman"/>
          <w:color w:val="auto"/>
          <w:highlight w:val="none"/>
          <w:lang w:val="en-US" w:eastAsia="zh-CN"/>
        </w:rPr>
        <w:t>商用车 f</w:t>
      </w:r>
      <w:r>
        <w:rPr>
          <w:rFonts w:hint="default" w:ascii="Times New Roman" w:hAnsi="Times New Roman" w:eastAsia="黑体" w:cs="Times New Roman"/>
          <w:color w:val="auto"/>
          <w:szCs w:val="28"/>
          <w:highlight w:val="none"/>
          <w:lang w:val="en-US" w:eastAsia="zh-CN"/>
        </w:rPr>
        <w:t>uel cell commercial vehicle；FCCV</w:t>
      </w:r>
    </w:p>
    <w:p>
      <w:pPr>
        <w:pStyle w:val="57"/>
        <w:ind w:firstLine="420"/>
        <w:rPr>
          <w:rFonts w:hint="default" w:ascii="Times New Roman" w:hAnsi="Times New Roman" w:eastAsia="宋体" w:cs="Times New Roman"/>
          <w:color w:val="auto"/>
          <w:szCs w:val="22"/>
          <w:highlight w:val="none"/>
          <w:lang w:val="en-US"/>
        </w:rPr>
      </w:pPr>
      <w:r>
        <w:rPr>
          <w:rFonts w:hint="default" w:ascii="Times New Roman" w:hAnsi="Times New Roman" w:eastAsia="宋体" w:cs="Times New Roman"/>
          <w:color w:val="auto"/>
          <w:szCs w:val="22"/>
          <w:highlight w:val="none"/>
          <w:lang w:val="en-US" w:eastAsia="zh-CN"/>
        </w:rPr>
        <w:t>以燃料电池系统作为动力源或主动力源的商用汽车。</w:t>
      </w:r>
    </w:p>
    <w:p>
      <w:pPr>
        <w:pStyle w:val="224"/>
        <w:ind w:left="420" w:hanging="420" w:hangingChars="200"/>
        <w:rPr>
          <w:rFonts w:hint="default" w:ascii="Times New Roman" w:hAnsi="Times New Roman" w:eastAsia="黑体" w:cs="Times New Roman"/>
          <w:color w:val="auto"/>
          <w:highlight w:val="none"/>
        </w:rPr>
      </w:pPr>
    </w:p>
    <w:p>
      <w:pPr>
        <w:pStyle w:val="224"/>
        <w:numPr>
          <w:ilvl w:val="2"/>
          <w:numId w:val="0"/>
        </w:numPr>
        <w:ind w:leftChars="-200" w:firstLine="840" w:firstLineChars="400"/>
        <w:rPr>
          <w:rFonts w:hint="default" w:ascii="Times New Roman" w:hAnsi="Times New Roman" w:eastAsia="黑体" w:cs="Times New Roman"/>
          <w:color w:val="auto"/>
          <w:highlight w:val="none"/>
        </w:rPr>
      </w:pPr>
      <w:r>
        <w:rPr>
          <w:rFonts w:hint="default" w:ascii="Times New Roman" w:hAnsi="Times New Roman" w:eastAsia="黑体" w:cs="Times New Roman"/>
          <w:color w:val="auto"/>
          <w:kern w:val="0"/>
          <w:sz w:val="21"/>
          <w:szCs w:val="22"/>
          <w:highlight w:val="none"/>
          <w:lang w:val="en-US" w:eastAsia="zh-CN" w:bidi="ar-SA"/>
        </w:rPr>
        <w:t>车载供氢系统  onboard hydrogen supply system</w:t>
      </w:r>
    </w:p>
    <w:p>
      <w:pPr>
        <w:pStyle w:val="57"/>
        <w:ind w:firstLine="42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安装在氢燃料电池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 xml:space="preserve">商用车上，从氢气加注口至燃料电池堆进气口，与氢气的加注、储存、输送、 </w:t>
      </w:r>
    </w:p>
    <w:p>
      <w:pPr>
        <w:pStyle w:val="57"/>
        <w:ind w:left="0" w:leftChars="0" w:firstLine="0" w:firstLineChars="0"/>
        <w:rPr>
          <w:rFonts w:hint="default" w:ascii="Times New Roman" w:hAnsi="Times New Roman" w:cs="Times New Roman"/>
          <w:color w:val="auto"/>
          <w:highlight w:val="none"/>
        </w:rPr>
      </w:pPr>
      <w:r>
        <w:rPr>
          <w:rFonts w:hint="default" w:ascii="Times New Roman" w:hAnsi="Times New Roman" w:eastAsia="宋体" w:cs="Times New Roman"/>
          <w:color w:val="auto"/>
          <w:szCs w:val="22"/>
          <w:highlight w:val="none"/>
          <w:lang w:val="en-US" w:eastAsia="zh-CN"/>
        </w:rPr>
        <w:t>供给和控制有关的装置。</w:t>
      </w:r>
    </w:p>
    <w:p>
      <w:pPr>
        <w:pStyle w:val="105"/>
        <w:spacing w:before="240" w:after="240"/>
        <w:rPr>
          <w:rFonts w:hint="default" w:ascii="Times New Roman" w:hAnsi="Times New Roman" w:cs="Times New Roman"/>
          <w:color w:val="auto"/>
          <w:highlight w:val="none"/>
        </w:rPr>
      </w:pPr>
      <w:bookmarkStart w:id="54" w:name="_Toc115354647"/>
      <w:bookmarkStart w:id="55" w:name="_Toc111031888"/>
      <w:bookmarkStart w:id="56" w:name="_Toc115354679"/>
      <w:bookmarkStart w:id="57" w:name="_Toc19134"/>
      <w:bookmarkStart w:id="58" w:name="_Toc110851053"/>
      <w:bookmarkStart w:id="59" w:name="_Toc115354279"/>
      <w:bookmarkStart w:id="60" w:name="_Toc111031883"/>
      <w:bookmarkStart w:id="61" w:name="_Toc110851048"/>
      <w:r>
        <w:rPr>
          <w:rFonts w:hint="default" w:ascii="Times New Roman" w:hAnsi="Times New Roman" w:cs="Times New Roman"/>
          <w:color w:val="auto"/>
          <w:highlight w:val="none"/>
          <w:lang w:val="en-US" w:eastAsia="zh-CN"/>
        </w:rPr>
        <w:t>运行的</w:t>
      </w:r>
      <w:r>
        <w:rPr>
          <w:rFonts w:hint="default" w:ascii="Times New Roman" w:hAnsi="Times New Roman" w:cs="Times New Roman"/>
          <w:color w:val="auto"/>
          <w:highlight w:val="none"/>
        </w:rPr>
        <w:t>基本要求</w:t>
      </w:r>
      <w:bookmarkEnd w:id="54"/>
      <w:bookmarkEnd w:id="55"/>
      <w:bookmarkEnd w:id="56"/>
      <w:bookmarkEnd w:id="57"/>
      <w:bookmarkEnd w:id="58"/>
      <w:bookmarkEnd w:id="59"/>
    </w:p>
    <w:p>
      <w:pPr>
        <w:pStyle w:val="106"/>
        <w:spacing w:before="120" w:after="120"/>
        <w:rPr>
          <w:rFonts w:hint="default" w:ascii="Times New Roman" w:hAnsi="Times New Roman" w:cs="Times New Roman"/>
          <w:color w:val="auto"/>
          <w:highlight w:val="none"/>
        </w:rPr>
      </w:pPr>
      <w:bookmarkStart w:id="62" w:name="_Toc115354680"/>
      <w:bookmarkStart w:id="63" w:name="_Toc115354280"/>
      <w:bookmarkStart w:id="64" w:name="_Toc115354648"/>
      <w:bookmarkStart w:id="65" w:name="_Toc110851055"/>
      <w:bookmarkStart w:id="66" w:name="_Toc111031889"/>
      <w:r>
        <w:rPr>
          <w:rFonts w:hint="default" w:ascii="Times New Roman" w:hAnsi="Times New Roman" w:cs="Times New Roman"/>
          <w:color w:val="auto"/>
          <w:highlight w:val="none"/>
          <w:lang w:val="en-US" w:eastAsia="zh-CN"/>
        </w:rPr>
        <w:t>车辆</w:t>
      </w:r>
      <w:r>
        <w:rPr>
          <w:rFonts w:hint="default" w:ascii="Times New Roman" w:hAnsi="Times New Roman" w:cs="Times New Roman"/>
          <w:color w:val="auto"/>
          <w:highlight w:val="none"/>
        </w:rPr>
        <w:t>要求</w:t>
      </w:r>
      <w:bookmarkEnd w:id="62"/>
      <w:bookmarkEnd w:id="63"/>
      <w:bookmarkEnd w:id="64"/>
    </w:p>
    <w:p>
      <w:pPr>
        <w:pStyle w:val="57"/>
        <w:ind w:firstLine="42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氢燃料电池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商用车应符合</w:t>
      </w:r>
      <w:r>
        <w:rPr>
          <w:rFonts w:hint="default" w:ascii="Times New Roman" w:hAnsi="Times New Roman" w:cs="Times New Roman"/>
          <w:color w:val="auto"/>
          <w:highlight w:val="none"/>
        </w:rPr>
        <w:t>GB 13094</w:t>
      </w:r>
      <w:r>
        <w:rPr>
          <w:rFonts w:hint="default" w:ascii="Times New Roman" w:hAnsi="Times New Roman" w:cs="Times New Roman"/>
          <w:color w:val="auto"/>
          <w:szCs w:val="22"/>
          <w:highlight w:val="none"/>
          <w:lang w:val="en-US" w:eastAsia="zh-CN"/>
        </w:rPr>
        <w:t>、</w:t>
      </w:r>
      <w:r>
        <w:rPr>
          <w:rFonts w:hint="default" w:ascii="Times New Roman" w:hAnsi="Times New Roman" w:cs="Times New Roman"/>
          <w:color w:val="auto"/>
          <w:highlight w:val="none"/>
        </w:rPr>
        <w:t>GB 7258</w:t>
      </w:r>
      <w:r>
        <w:rPr>
          <w:rFonts w:hint="default" w:ascii="Times New Roman" w:hAnsi="Times New Roman" w:cs="Times New Roman"/>
          <w:color w:val="auto"/>
          <w:highlight w:val="none"/>
          <w:lang w:val="en-US" w:eastAsia="zh-CN"/>
        </w:rPr>
        <w:t>等</w:t>
      </w:r>
      <w:r>
        <w:rPr>
          <w:rFonts w:hint="default" w:ascii="Times New Roman" w:hAnsi="Times New Roman" w:eastAsia="宋体" w:cs="Times New Roman"/>
          <w:color w:val="auto"/>
          <w:szCs w:val="22"/>
          <w:highlight w:val="none"/>
          <w:lang w:val="en-US" w:eastAsia="zh-CN"/>
        </w:rPr>
        <w:t>国家机动车强制性标准要求</w:t>
      </w:r>
      <w:r>
        <w:rPr>
          <w:rFonts w:hint="default" w:ascii="Times New Roman" w:hAnsi="Times New Roman" w:cs="Times New Roman"/>
          <w:color w:val="auto"/>
          <w:szCs w:val="22"/>
          <w:highlight w:val="none"/>
          <w:lang w:val="en-US" w:eastAsia="zh-CN"/>
        </w:rPr>
        <w:t>，并获得上路许可</w:t>
      </w:r>
      <w:r>
        <w:rPr>
          <w:rFonts w:hint="default" w:ascii="Times New Roman" w:hAnsi="Times New Roman" w:eastAsia="宋体" w:cs="Times New Roman"/>
          <w:color w:val="auto"/>
          <w:szCs w:val="22"/>
          <w:highlight w:val="none"/>
          <w:lang w:val="en-US" w:eastAsia="zh-CN"/>
        </w:rPr>
        <w:t>。</w:t>
      </w:r>
      <w:r>
        <w:rPr>
          <w:rFonts w:hint="default" w:ascii="Times New Roman" w:hAnsi="Times New Roman" w:eastAsia="宋体" w:cs="Times New Roman"/>
          <w:strike w:val="0"/>
          <w:dstrike w:val="0"/>
          <w:color w:val="auto"/>
          <w:szCs w:val="22"/>
          <w:highlight w:val="none"/>
        </w:rPr>
        <w:t>在车辆前端和后端醒目位置分别设置标注其使用的气体燃料类型的识别标志</w:t>
      </w:r>
      <w:r>
        <w:rPr>
          <w:rFonts w:hint="default" w:ascii="Times New Roman" w:hAnsi="Times New Roman" w:cs="Times New Roman"/>
          <w:strike w:val="0"/>
          <w:dstrike w:val="0"/>
          <w:color w:val="auto"/>
          <w:szCs w:val="22"/>
          <w:highlight w:val="none"/>
          <w:lang w:eastAsia="zh-CN"/>
        </w:rPr>
        <w:t>。</w:t>
      </w:r>
    </w:p>
    <w:bookmarkEnd w:id="65"/>
    <w:bookmarkEnd w:id="66"/>
    <w:p>
      <w:pPr>
        <w:pStyle w:val="106"/>
        <w:spacing w:before="120" w:after="120"/>
        <w:rPr>
          <w:rFonts w:hint="default" w:ascii="Times New Roman" w:hAnsi="Times New Roman" w:cs="Times New Roman"/>
          <w:color w:val="auto"/>
          <w:highlight w:val="none"/>
        </w:rPr>
      </w:pPr>
      <w:bookmarkStart w:id="67" w:name="_Toc115354649"/>
      <w:bookmarkStart w:id="68" w:name="_Toc115354281"/>
      <w:bookmarkStart w:id="69" w:name="_Toc115354681"/>
      <w:r>
        <w:rPr>
          <w:rFonts w:hint="default" w:ascii="Times New Roman" w:hAnsi="Times New Roman" w:cs="Times New Roman"/>
          <w:color w:val="auto"/>
          <w:highlight w:val="none"/>
          <w:lang w:val="en-US" w:eastAsia="zh-CN"/>
        </w:rPr>
        <w:t>配套</w:t>
      </w:r>
      <w:r>
        <w:rPr>
          <w:rFonts w:hint="default" w:ascii="Times New Roman" w:hAnsi="Times New Roman" w:cs="Times New Roman"/>
          <w:color w:val="auto"/>
          <w:highlight w:val="none"/>
        </w:rPr>
        <w:t>要求</w:t>
      </w:r>
      <w:bookmarkEnd w:id="67"/>
      <w:bookmarkEnd w:id="68"/>
      <w:bookmarkEnd w:id="69"/>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运行区域的配套设施应符合GB/T 29124要求。</w:t>
      </w:r>
    </w:p>
    <w:p>
      <w:pPr>
        <w:pStyle w:val="106"/>
        <w:spacing w:before="120" w:after="120"/>
        <w:rPr>
          <w:rFonts w:hint="default" w:ascii="Times New Roman" w:hAnsi="Times New Roman" w:cs="Times New Roman"/>
          <w:color w:val="auto"/>
          <w:highlight w:val="none"/>
        </w:rPr>
      </w:pPr>
      <w:bookmarkStart w:id="70" w:name="_Toc110851056"/>
      <w:bookmarkStart w:id="71" w:name="_Toc111031890"/>
      <w:r>
        <w:rPr>
          <w:rFonts w:hint="default" w:ascii="Times New Roman" w:hAnsi="Times New Roman" w:cs="Times New Roman"/>
          <w:color w:val="auto"/>
          <w:highlight w:val="none"/>
          <w:lang w:val="en-US" w:eastAsia="zh-CN"/>
        </w:rPr>
        <w:t>管理体系</w:t>
      </w:r>
    </w:p>
    <w:p>
      <w:pPr>
        <w:pStyle w:val="231"/>
        <w:rPr>
          <w:rFonts w:hint="default" w:ascii="Times New Roman" w:hAnsi="Times New Roman" w:eastAsia="宋体" w:cs="Times New Roman"/>
          <w:color w:val="auto"/>
          <w:sz w:val="21"/>
          <w:szCs w:val="22"/>
          <w:highlight w:val="none"/>
          <w:lang w:val="en-US" w:eastAsia="zh-CN" w:bidi="ar-SA"/>
        </w:rPr>
      </w:pPr>
      <w:bookmarkStart w:id="72" w:name="_Toc115354683"/>
      <w:bookmarkStart w:id="73" w:name="_Toc115354283"/>
      <w:bookmarkStart w:id="74" w:name="_Toc115354651"/>
      <w:r>
        <w:rPr>
          <w:rFonts w:hint="default" w:ascii="Times New Roman" w:hAnsi="Times New Roman" w:eastAsia="宋体" w:cs="Times New Roman"/>
          <w:color w:val="auto"/>
          <w:sz w:val="21"/>
          <w:szCs w:val="22"/>
          <w:highlight w:val="none"/>
          <w:lang w:val="en-US" w:eastAsia="zh-CN" w:bidi="ar-SA"/>
        </w:rPr>
        <w:t>运行单位应制定完善的氢燃料电池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 w:val="21"/>
          <w:szCs w:val="22"/>
          <w:highlight w:val="none"/>
          <w:lang w:val="en-US" w:eastAsia="zh-CN" w:bidi="ar-SA"/>
        </w:rPr>
        <w:t>商用车运行组织管理体系和安全生产责任制，包括</w:t>
      </w:r>
      <w:r>
        <w:rPr>
          <w:rFonts w:hint="eastAsia" w:ascii="Times New Roman" w:cs="Times New Roman"/>
          <w:color w:val="auto"/>
          <w:sz w:val="21"/>
          <w:szCs w:val="22"/>
          <w:highlight w:val="none"/>
          <w:lang w:val="en-US" w:eastAsia="zh-CN" w:bidi="ar-SA"/>
        </w:rPr>
        <w:t>但不限于车辆维护、检查、</w:t>
      </w:r>
      <w:r>
        <w:rPr>
          <w:rFonts w:hint="default" w:ascii="Times New Roman" w:hAnsi="Times New Roman" w:eastAsia="宋体" w:cs="Times New Roman"/>
          <w:color w:val="auto"/>
          <w:sz w:val="21"/>
          <w:szCs w:val="22"/>
          <w:highlight w:val="none"/>
          <w:lang w:val="en-US" w:eastAsia="zh-CN" w:bidi="ar-SA"/>
        </w:rPr>
        <w:t>故障</w:t>
      </w:r>
      <w:r>
        <w:rPr>
          <w:rFonts w:hint="eastAsia" w:ascii="Times New Roman" w:cs="Times New Roman"/>
          <w:color w:val="auto"/>
          <w:sz w:val="21"/>
          <w:szCs w:val="22"/>
          <w:highlight w:val="none"/>
          <w:lang w:val="en-US" w:eastAsia="zh-CN" w:bidi="ar-SA"/>
        </w:rPr>
        <w:t>维修</w:t>
      </w:r>
      <w:r>
        <w:rPr>
          <w:rFonts w:hint="default" w:ascii="Times New Roman" w:hAnsi="Times New Roman" w:eastAsia="宋体" w:cs="Times New Roman"/>
          <w:color w:val="auto"/>
          <w:sz w:val="21"/>
          <w:szCs w:val="22"/>
          <w:highlight w:val="none"/>
          <w:lang w:val="en-US" w:eastAsia="zh-CN" w:bidi="ar-SA"/>
        </w:rPr>
        <w:t>和应急预案。</w:t>
      </w:r>
    </w:p>
    <w:p>
      <w:pPr>
        <w:pStyle w:val="106"/>
        <w:spacing w:before="120" w:after="12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运行人员</w:t>
      </w:r>
    </w:p>
    <w:p>
      <w:pPr>
        <w:pStyle w:val="166"/>
        <w:ind w:left="0"/>
        <w:rPr>
          <w:rFonts w:hint="default" w:ascii="Times New Roman" w:hAnsi="Times New Roman" w:eastAsia="宋体" w:cs="Times New Roman"/>
          <w:color w:val="auto"/>
          <w:szCs w:val="22"/>
          <w:highlight w:val="none"/>
        </w:rPr>
      </w:pPr>
      <w:r>
        <w:rPr>
          <w:rFonts w:hint="default" w:ascii="Times New Roman" w:hAnsi="Times New Roman" w:eastAsia="宋体" w:cs="Times New Roman"/>
          <w:color w:val="auto"/>
          <w:szCs w:val="22"/>
          <w:highlight w:val="none"/>
          <w:lang w:val="en-US" w:eastAsia="zh-CN"/>
        </w:rPr>
        <w:t>参与运行人员（包括司机、维修保养和管理人员等）应接受氢燃料电池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 xml:space="preserve">商用车相关专业技术、 安全、实操培训，并经过考核合格上岗。 </w:t>
      </w:r>
    </w:p>
    <w:p>
      <w:pPr>
        <w:pStyle w:val="166"/>
        <w:ind w:left="0"/>
        <w:rPr>
          <w:rFonts w:hint="default" w:ascii="Times New Roman" w:hAnsi="Times New Roman" w:eastAsia="宋体" w:cs="Times New Roman"/>
          <w:color w:val="auto"/>
          <w:szCs w:val="22"/>
          <w:highlight w:val="none"/>
        </w:rPr>
      </w:pPr>
      <w:r>
        <w:rPr>
          <w:rFonts w:hint="default" w:ascii="Times New Roman" w:hAnsi="Times New Roman" w:eastAsia="宋体" w:cs="Times New Roman"/>
          <w:color w:val="auto"/>
          <w:szCs w:val="22"/>
          <w:highlight w:val="none"/>
          <w:lang w:val="en-US" w:eastAsia="zh-CN"/>
        </w:rPr>
        <w:t xml:space="preserve">运行单位应对参与运行人员进行建档管理。 </w:t>
      </w:r>
    </w:p>
    <w:p>
      <w:pPr>
        <w:pStyle w:val="166"/>
        <w:ind w:left="0"/>
        <w:rPr>
          <w:rFonts w:hint="default" w:ascii="Times New Roman" w:hAnsi="Times New Roman" w:cs="Times New Roman"/>
          <w:color w:val="auto"/>
          <w:highlight w:val="none"/>
        </w:rPr>
      </w:pPr>
      <w:r>
        <w:rPr>
          <w:rFonts w:hint="default" w:ascii="Times New Roman" w:hAnsi="Times New Roman" w:eastAsia="宋体" w:cs="Times New Roman"/>
          <w:color w:val="auto"/>
          <w:szCs w:val="22"/>
          <w:highlight w:val="none"/>
          <w:lang w:val="en-US" w:eastAsia="zh-CN"/>
        </w:rPr>
        <w:t>司机驾驶</w:t>
      </w:r>
      <w:r>
        <w:rPr>
          <w:rFonts w:hint="eastAsia" w:ascii="Times New Roman" w:cs="Times New Roman"/>
          <w:color w:val="auto"/>
          <w:szCs w:val="22"/>
          <w:highlight w:val="none"/>
          <w:lang w:val="en-US" w:eastAsia="zh-CN"/>
        </w:rPr>
        <w:t>车辆</w:t>
      </w:r>
      <w:r>
        <w:rPr>
          <w:rFonts w:hint="default" w:ascii="Times New Roman" w:hAnsi="Times New Roman" w:eastAsia="宋体" w:cs="Times New Roman"/>
          <w:color w:val="auto"/>
          <w:szCs w:val="22"/>
          <w:highlight w:val="none"/>
          <w:lang w:val="en-US" w:eastAsia="zh-CN"/>
        </w:rPr>
        <w:t>前应仔细阅读</w:t>
      </w:r>
      <w:r>
        <w:rPr>
          <w:rFonts w:hint="eastAsia" w:ascii="Times New Roman" w:cs="Times New Roman"/>
          <w:color w:val="auto"/>
          <w:szCs w:val="22"/>
          <w:highlight w:val="none"/>
          <w:lang w:val="en-US" w:eastAsia="zh-CN"/>
        </w:rPr>
        <w:t>和掌握</w:t>
      </w:r>
      <w:r>
        <w:rPr>
          <w:rFonts w:hint="default" w:ascii="Times New Roman" w:hAnsi="Times New Roman" w:eastAsia="宋体" w:cs="Times New Roman"/>
          <w:color w:val="auto"/>
          <w:szCs w:val="22"/>
          <w:highlight w:val="none"/>
          <w:lang w:val="en-US" w:eastAsia="zh-CN"/>
        </w:rPr>
        <w:t>所驾驶燃料电池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商用车制造厂商提供的使用说明书，熟悉汽车安全操作程序、燃料特性、注意事项、应急或危险情况应对措施、停车场地要求等。</w:t>
      </w:r>
    </w:p>
    <w:bookmarkEnd w:id="60"/>
    <w:bookmarkEnd w:id="61"/>
    <w:bookmarkEnd w:id="70"/>
    <w:bookmarkEnd w:id="71"/>
    <w:bookmarkEnd w:id="72"/>
    <w:bookmarkEnd w:id="73"/>
    <w:bookmarkEnd w:id="74"/>
    <w:p>
      <w:pPr>
        <w:pStyle w:val="105"/>
        <w:spacing w:before="240" w:after="240"/>
        <w:rPr>
          <w:rFonts w:hint="default" w:ascii="Times New Roman" w:hAnsi="Times New Roman" w:cs="Times New Roman"/>
          <w:color w:val="auto"/>
          <w:highlight w:val="none"/>
        </w:rPr>
      </w:pPr>
      <w:bookmarkStart w:id="75" w:name="_Toc16284"/>
      <w:r>
        <w:rPr>
          <w:rFonts w:hint="default" w:ascii="Times New Roman" w:hAnsi="Times New Roman" w:cs="Times New Roman"/>
          <w:color w:val="auto"/>
          <w:highlight w:val="none"/>
          <w:lang w:val="en-US" w:eastAsia="zh-CN"/>
        </w:rPr>
        <w:t>车辆启动及驾驶操作</w:t>
      </w:r>
      <w:bookmarkEnd w:id="75"/>
    </w:p>
    <w:p>
      <w:pPr>
        <w:pStyle w:val="106"/>
        <w:spacing w:before="120" w:after="120"/>
        <w:rPr>
          <w:rFonts w:hint="default" w:ascii="Times New Roman" w:hAnsi="Times New Roman" w:cs="Times New Roman"/>
          <w:color w:val="auto"/>
          <w:szCs w:val="22"/>
          <w:highlight w:val="none"/>
          <w:lang w:val="en-US" w:eastAsia="zh-CN"/>
        </w:rPr>
      </w:pPr>
      <w:bookmarkStart w:id="76" w:name="_Toc115354687"/>
      <w:bookmarkStart w:id="77" w:name="_Toc110851049"/>
      <w:bookmarkStart w:id="78" w:name="_Toc111031884"/>
      <w:bookmarkStart w:id="79" w:name="_Toc115354287"/>
      <w:bookmarkStart w:id="80" w:name="_Toc115354655"/>
      <w:r>
        <w:rPr>
          <w:rFonts w:hint="default" w:ascii="Times New Roman" w:hAnsi="Times New Roman" w:cs="Times New Roman"/>
          <w:color w:val="auto"/>
          <w:szCs w:val="22"/>
          <w:highlight w:val="none"/>
          <w:lang w:val="en-US" w:eastAsia="zh-CN"/>
        </w:rPr>
        <w:t>车辆启动</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环绕汽车一周，检查车身外表</w:t>
      </w:r>
      <w:r>
        <w:rPr>
          <w:rFonts w:hint="default" w:ascii="Times New Roman" w:hAnsi="Times New Roman" w:cs="Times New Roman"/>
          <w:color w:val="auto"/>
          <w:szCs w:val="22"/>
          <w:highlight w:val="none"/>
          <w:lang w:val="en-US" w:eastAsia="zh-CN"/>
        </w:rPr>
        <w:t>应无异常</w:t>
      </w:r>
      <w:r>
        <w:rPr>
          <w:rFonts w:hint="default" w:ascii="Times New Roman" w:hAnsi="Times New Roman" w:eastAsia="宋体" w:cs="Times New Roman"/>
          <w:color w:val="auto"/>
          <w:szCs w:val="22"/>
          <w:highlight w:val="none"/>
          <w:lang w:val="en-US" w:eastAsia="zh-CN"/>
        </w:rPr>
        <w:t>，</w:t>
      </w:r>
      <w:r>
        <w:rPr>
          <w:rFonts w:hint="default" w:ascii="Times New Roman" w:hAnsi="Times New Roman" w:cs="Times New Roman"/>
          <w:color w:val="auto"/>
          <w:szCs w:val="22"/>
          <w:highlight w:val="none"/>
          <w:lang w:val="en-US" w:eastAsia="zh-CN"/>
        </w:rPr>
        <w:t>确认进排气通道无遮挡、无损坏。</w:t>
      </w:r>
    </w:p>
    <w:p>
      <w:pPr>
        <w:pStyle w:val="166"/>
        <w:ind w:left="0"/>
        <w:rPr>
          <w:rFonts w:hint="default" w:ascii="Times New Roman" w:hAnsi="Times New Roman" w:eastAsia="宋体" w:cs="Times New Roman"/>
          <w:strike w:val="0"/>
          <w:dstrike w:val="0"/>
          <w:color w:val="auto"/>
          <w:szCs w:val="22"/>
          <w:highlight w:val="none"/>
          <w:lang w:val="en-US" w:eastAsia="zh-CN"/>
        </w:rPr>
      </w:pPr>
      <w:r>
        <w:rPr>
          <w:rFonts w:hint="default" w:ascii="Times New Roman" w:hAnsi="Times New Roman" w:eastAsia="宋体" w:cs="Times New Roman"/>
          <w:strike w:val="0"/>
          <w:dstrike w:val="0"/>
          <w:color w:val="auto"/>
          <w:szCs w:val="22"/>
          <w:highlight w:val="none"/>
          <w:lang w:val="en-US" w:eastAsia="zh-CN"/>
        </w:rPr>
        <w:t>车辆启动应按照使用说明书进行操作</w:t>
      </w:r>
      <w:r>
        <w:rPr>
          <w:rFonts w:hint="default" w:ascii="Times New Roman" w:hAnsi="Times New Roman" w:cs="Times New Roman"/>
          <w:strike w:val="0"/>
          <w:dstrike w:val="0"/>
          <w:color w:val="auto"/>
          <w:szCs w:val="22"/>
          <w:highlight w:val="none"/>
          <w:lang w:val="en-US" w:eastAsia="zh-CN"/>
        </w:rPr>
        <w:t>，</w:t>
      </w:r>
      <w:r>
        <w:rPr>
          <w:rFonts w:hint="default" w:ascii="Times New Roman" w:hAnsi="Times New Roman" w:eastAsia="宋体" w:cs="Times New Roman"/>
          <w:strike w:val="0"/>
          <w:dstrike w:val="0"/>
          <w:color w:val="auto"/>
          <w:szCs w:val="22"/>
          <w:highlight w:val="none"/>
          <w:lang w:val="en-US" w:eastAsia="zh-CN"/>
        </w:rPr>
        <w:t>车辆启动后，</w:t>
      </w:r>
      <w:r>
        <w:rPr>
          <w:rFonts w:hint="default" w:ascii="Times New Roman" w:hAnsi="Times New Roman" w:cs="Times New Roman"/>
          <w:strike w:val="0"/>
          <w:dstrike w:val="0"/>
          <w:color w:val="auto"/>
          <w:szCs w:val="22"/>
          <w:highlight w:val="none"/>
          <w:lang w:val="en-US" w:eastAsia="zh-CN"/>
        </w:rPr>
        <w:t>检查</w:t>
      </w:r>
      <w:r>
        <w:rPr>
          <w:rFonts w:hint="default" w:ascii="Times New Roman" w:hAnsi="Times New Roman" w:eastAsia="宋体" w:cs="Times New Roman"/>
          <w:strike w:val="0"/>
          <w:dstrike w:val="0"/>
          <w:color w:val="auto"/>
          <w:szCs w:val="22"/>
          <w:highlight w:val="none"/>
          <w:lang w:val="en-US" w:eastAsia="zh-CN"/>
        </w:rPr>
        <w:t>各仪表</w:t>
      </w:r>
      <w:r>
        <w:rPr>
          <w:rFonts w:hint="default" w:ascii="Times New Roman" w:hAnsi="Times New Roman" w:cs="Times New Roman"/>
          <w:strike w:val="0"/>
          <w:dstrike w:val="0"/>
          <w:color w:val="auto"/>
          <w:szCs w:val="22"/>
          <w:highlight w:val="none"/>
          <w:lang w:val="en-US" w:eastAsia="zh-CN"/>
        </w:rPr>
        <w:t>应</w:t>
      </w:r>
      <w:r>
        <w:rPr>
          <w:rFonts w:hint="default" w:ascii="Times New Roman" w:hAnsi="Times New Roman" w:eastAsia="宋体" w:cs="Times New Roman"/>
          <w:strike w:val="0"/>
          <w:dstrike w:val="0"/>
          <w:color w:val="auto"/>
          <w:szCs w:val="22"/>
          <w:highlight w:val="none"/>
          <w:lang w:val="en-US" w:eastAsia="zh-CN"/>
        </w:rPr>
        <w:t>无故障报警信号</w:t>
      </w:r>
      <w:r>
        <w:rPr>
          <w:rFonts w:hint="default" w:ascii="Times New Roman" w:hAnsi="Times New Roman" w:cs="Times New Roman"/>
          <w:strike w:val="0"/>
          <w:dstrike w:val="0"/>
          <w:color w:val="auto"/>
          <w:szCs w:val="22"/>
          <w:highlight w:val="none"/>
          <w:lang w:val="en-US" w:eastAsia="zh-CN"/>
        </w:rPr>
        <w:t>方可行驶</w:t>
      </w:r>
      <w:r>
        <w:rPr>
          <w:rFonts w:hint="eastAsia" w:ascii="Times New Roman" w:hAnsi="Times New Roman" w:cs="Times New Roman"/>
          <w:strike w:val="0"/>
          <w:dstrike w:val="0"/>
          <w:color w:val="auto"/>
          <w:szCs w:val="22"/>
          <w:highlight w:val="none"/>
          <w:lang w:val="en-US" w:eastAsia="zh-CN"/>
        </w:rPr>
        <w:t>，</w:t>
      </w:r>
      <w:r>
        <w:rPr>
          <w:rFonts w:hint="eastAsia" w:ascii="Times New Roman" w:cs="Times New Roman"/>
          <w:strike w:val="0"/>
          <w:dstrike w:val="0"/>
          <w:color w:val="auto"/>
          <w:szCs w:val="22"/>
          <w:highlight w:val="none"/>
          <w:lang w:val="en-US" w:eastAsia="zh-CN"/>
        </w:rPr>
        <w:t>发现故障问题和安全隐患应及时上报维修。</w:t>
      </w:r>
    </w:p>
    <w:p>
      <w:pPr>
        <w:pStyle w:val="166"/>
        <w:ind w:left="0"/>
        <w:rPr>
          <w:rFonts w:hint="default" w:ascii="Times New Roman" w:hAnsi="Times New Roman" w:eastAsia="宋体" w:cs="Times New Roman"/>
          <w:strike w:val="0"/>
          <w:dstrike w:val="0"/>
          <w:color w:val="auto"/>
          <w:szCs w:val="22"/>
          <w:highlight w:val="none"/>
          <w:lang w:val="en-US" w:eastAsia="zh-CN"/>
        </w:rPr>
      </w:pPr>
      <w:r>
        <w:rPr>
          <w:rFonts w:hint="default" w:ascii="Times New Roman" w:hAnsi="Times New Roman" w:cs="Times New Roman"/>
          <w:strike w:val="0"/>
          <w:dstrike w:val="0"/>
          <w:color w:val="auto"/>
          <w:szCs w:val="22"/>
          <w:highlight w:val="none"/>
          <w:lang w:val="en-US" w:eastAsia="zh-CN"/>
        </w:rPr>
        <w:t>车辆启动时应避免急加速</w:t>
      </w:r>
      <w:r>
        <w:rPr>
          <w:rFonts w:hint="default" w:ascii="Times New Roman" w:hAnsi="Times New Roman" w:eastAsia="宋体" w:cs="Times New Roman"/>
          <w:strike w:val="0"/>
          <w:dstrike w:val="0"/>
          <w:color w:val="auto"/>
          <w:szCs w:val="22"/>
          <w:highlight w:val="none"/>
          <w:lang w:val="en-US" w:eastAsia="zh-CN"/>
        </w:rPr>
        <w:t>。</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驾驶操作</w:t>
      </w:r>
    </w:p>
    <w:bookmarkEnd w:id="76"/>
    <w:bookmarkEnd w:id="77"/>
    <w:bookmarkEnd w:id="78"/>
    <w:bookmarkEnd w:id="79"/>
    <w:bookmarkEnd w:id="80"/>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 xml:space="preserve">要符合相关的交通法规行驶。 </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在行驶过程中应注意查看车上各种仪表，查听驱动系统及底盘声音，如发觉操纵困难、车身跳动或颤抖、机件有异响或异常气味、冷却温度异常、氢浓度超标时，应立即</w:t>
      </w:r>
      <w:r>
        <w:rPr>
          <w:rFonts w:hint="default" w:ascii="Times New Roman" w:hAnsi="Times New Roman" w:cs="Times New Roman"/>
          <w:color w:val="auto"/>
          <w:szCs w:val="22"/>
          <w:highlight w:val="none"/>
          <w:lang w:val="en-US" w:eastAsia="zh-CN"/>
        </w:rPr>
        <w:t>行至安全位置停车</w:t>
      </w:r>
      <w:r>
        <w:rPr>
          <w:rFonts w:hint="default" w:ascii="Times New Roman" w:hAnsi="Times New Roman" w:eastAsia="宋体" w:cs="Times New Roman"/>
          <w:color w:val="auto"/>
          <w:szCs w:val="22"/>
          <w:highlight w:val="none"/>
          <w:lang w:val="en-US" w:eastAsia="zh-CN"/>
        </w:rPr>
        <w:t xml:space="preserve">检查，并进行必要的调整和修理。 </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行驶中驱动系统动力突然下降，应立即</w:t>
      </w:r>
      <w:r>
        <w:rPr>
          <w:rFonts w:hint="default" w:ascii="Times New Roman" w:hAnsi="Times New Roman" w:cs="Times New Roman"/>
          <w:color w:val="auto"/>
          <w:szCs w:val="22"/>
          <w:highlight w:val="none"/>
          <w:lang w:val="en-US" w:eastAsia="zh-CN"/>
        </w:rPr>
        <w:t>行至安全位置停车</w:t>
      </w:r>
      <w:r>
        <w:rPr>
          <w:rFonts w:hint="default" w:ascii="Times New Roman" w:hAnsi="Times New Roman" w:eastAsia="宋体" w:cs="Times New Roman"/>
          <w:color w:val="auto"/>
          <w:szCs w:val="22"/>
          <w:highlight w:val="none"/>
          <w:lang w:val="en-US" w:eastAsia="zh-CN"/>
        </w:rPr>
        <w:t>检查。</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环境温度低于0℃时，若燃料电池系统出现故障，应根据整车说明书要求对燃料电池系统进行吹扫操作，防止燃料电池系统内部结冰对其造成二次伤害。</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车辆停机</w:t>
      </w:r>
    </w:p>
    <w:p>
      <w:pPr>
        <w:pStyle w:val="57"/>
        <w:rPr>
          <w:rFonts w:hint="default" w:ascii="Times New Roman" w:hAnsi="Times New Roman" w:cs="Times New Roman"/>
          <w:highlight w:val="none"/>
          <w:lang w:val="en-US" w:eastAsia="zh-CN"/>
        </w:rPr>
      </w:pPr>
      <w:r>
        <w:rPr>
          <w:rFonts w:hint="default" w:ascii="Times New Roman" w:hAnsi="Times New Roman" w:cs="Times New Roman"/>
          <w:color w:val="auto"/>
          <w:szCs w:val="22"/>
          <w:highlight w:val="none"/>
          <w:lang w:val="en-US" w:eastAsia="zh-CN"/>
        </w:rPr>
        <w:t>车辆应按照车辆说明书进行停机操作，并确保燃料电池系统正常吹扫完毕，方可关闭车辆总电源。</w:t>
      </w:r>
    </w:p>
    <w:p>
      <w:pPr>
        <w:pStyle w:val="105"/>
        <w:spacing w:before="240" w:after="240"/>
        <w:rPr>
          <w:rFonts w:hint="default" w:ascii="Times New Roman" w:hAnsi="Times New Roman" w:cs="Times New Roman"/>
          <w:color w:val="auto"/>
          <w:highlight w:val="none"/>
        </w:rPr>
      </w:pPr>
      <w:bookmarkStart w:id="81" w:name="_Toc16607"/>
      <w:bookmarkStart w:id="82" w:name="_Toc110851059"/>
      <w:bookmarkStart w:id="83" w:name="_Toc111031893"/>
      <w:r>
        <w:rPr>
          <w:rFonts w:hint="default" w:ascii="Times New Roman" w:hAnsi="Times New Roman" w:cs="Times New Roman"/>
          <w:color w:val="auto"/>
          <w:highlight w:val="none"/>
          <w:lang w:val="en-US" w:eastAsia="zh-CN"/>
        </w:rPr>
        <w:t>车辆的停放与存放</w:t>
      </w:r>
      <w:bookmarkEnd w:id="81"/>
    </w:p>
    <w:p>
      <w:pPr>
        <w:pStyle w:val="106"/>
        <w:spacing w:before="120" w:after="12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停车</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车辆停放场地应确保无积水、通风条件良好、车辆之间通道畅通，不得堆放杂物，应避免车辆受到撞击或挤压。</w:t>
      </w:r>
    </w:p>
    <w:p>
      <w:pPr>
        <w:pStyle w:val="106"/>
        <w:spacing w:before="120" w:after="12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收车后检查</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按照</w:t>
      </w:r>
      <w:r>
        <w:rPr>
          <w:rFonts w:hint="default" w:ascii="Times New Roman" w:hAnsi="Times New Roman" w:cs="Times New Roman"/>
          <w:color w:val="auto"/>
          <w:sz w:val="21"/>
          <w:szCs w:val="22"/>
          <w:highlight w:val="none"/>
          <w:lang w:val="en-US" w:eastAsia="zh-CN" w:bidi="ar-SA"/>
        </w:rPr>
        <w:t>JT</w:t>
      </w:r>
      <w:r>
        <w:rPr>
          <w:rFonts w:hint="default" w:ascii="Times New Roman" w:hAnsi="Times New Roman" w:eastAsia="宋体" w:cs="Times New Roman"/>
          <w:color w:val="auto"/>
          <w:sz w:val="21"/>
          <w:szCs w:val="22"/>
          <w:highlight w:val="none"/>
          <w:lang w:val="en-US" w:eastAsia="zh-CN" w:bidi="ar-SA"/>
        </w:rPr>
        <w:t>/T 1</w:t>
      </w:r>
      <w:r>
        <w:rPr>
          <w:rFonts w:hint="default" w:ascii="Times New Roman" w:hAnsi="Times New Roman" w:cs="Times New Roman"/>
          <w:color w:val="auto"/>
          <w:sz w:val="21"/>
          <w:szCs w:val="22"/>
          <w:highlight w:val="none"/>
          <w:lang w:val="en-US" w:eastAsia="zh-CN" w:bidi="ar-SA"/>
        </w:rPr>
        <w:t>344</w:t>
      </w:r>
      <w:r>
        <w:rPr>
          <w:rFonts w:hint="default" w:ascii="Times New Roman" w:hAnsi="Times New Roman" w:eastAsia="宋体" w:cs="Times New Roman"/>
          <w:color w:val="auto"/>
          <w:sz w:val="21"/>
          <w:szCs w:val="22"/>
          <w:highlight w:val="none"/>
          <w:lang w:val="en-US" w:eastAsia="zh-CN" w:bidi="ar-SA"/>
        </w:rPr>
        <w:t>中5.</w:t>
      </w:r>
      <w:r>
        <w:rPr>
          <w:rFonts w:hint="default" w:ascii="Times New Roman" w:hAnsi="Times New Roman" w:cs="Times New Roman"/>
          <w:color w:val="auto"/>
          <w:sz w:val="21"/>
          <w:szCs w:val="22"/>
          <w:highlight w:val="none"/>
          <w:lang w:val="en-US" w:eastAsia="zh-CN" w:bidi="ar-SA"/>
        </w:rPr>
        <w:t>2</w:t>
      </w:r>
      <w:r>
        <w:rPr>
          <w:rFonts w:hint="default" w:ascii="Times New Roman" w:hAnsi="Times New Roman" w:eastAsia="宋体" w:cs="Times New Roman"/>
          <w:color w:val="auto"/>
          <w:sz w:val="21"/>
          <w:szCs w:val="22"/>
          <w:highlight w:val="none"/>
          <w:lang w:val="en-US" w:eastAsia="zh-CN" w:bidi="ar-SA"/>
        </w:rPr>
        <w:t>对车辆进行维护和检查。</w:t>
      </w:r>
    </w:p>
    <w:p>
      <w:pPr>
        <w:pStyle w:val="106"/>
        <w:spacing w:before="120" w:after="12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车辆存放</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车辆长期停用时应按照整车说明书要求对燃料电池系统进行长时间储存相关操作后，关闭总电源和车载供氢系统主关断阀。</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存放场地应为室外开阔场地或有氢气浓度监测且能防止氢气聚集的室内场所</w:t>
      </w:r>
      <w:r>
        <w:rPr>
          <w:rFonts w:hint="default" w:ascii="Times New Roman" w:hAnsi="Times New Roman" w:cs="Times New Roman"/>
          <w:color w:val="auto"/>
          <w:szCs w:val="22"/>
          <w:highlight w:val="none"/>
          <w:lang w:val="en-US" w:eastAsia="zh-CN"/>
        </w:rPr>
        <w:t>，并确保</w:t>
      </w:r>
      <w:r>
        <w:rPr>
          <w:rFonts w:hint="default" w:ascii="Times New Roman" w:hAnsi="Times New Roman" w:eastAsia="宋体" w:cs="Times New Roman"/>
          <w:color w:val="auto"/>
          <w:szCs w:val="22"/>
          <w:highlight w:val="none"/>
          <w:lang w:val="en-US" w:eastAsia="zh-CN"/>
        </w:rPr>
        <w:t>车辆周围无火源。</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存放期间应确保车辆氢燃料加注口盖上防尘盖，防止雨水及灰尘的侵入，同时确保氢燃料加注口舱门处于锁闭状态。</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长时间停用后再次使用时，应参照车辆使用说明书或服务手册，使用氢气探测仪对车载供氢系统进行氢气泄漏探测，确保无泄漏，并按5.1规定的检查内容确认车辆正常后方能重新投入使用。</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长时间停放后，首次使用</w:t>
      </w:r>
      <w:r>
        <w:rPr>
          <w:rFonts w:hint="default" w:ascii="Times New Roman" w:hAnsi="Times New Roman" w:cs="Times New Roman"/>
          <w:color w:val="auto"/>
          <w:szCs w:val="22"/>
          <w:highlight w:val="none"/>
          <w:lang w:val="en-US" w:eastAsia="zh-CN"/>
        </w:rPr>
        <w:t>时建议</w:t>
      </w:r>
      <w:r>
        <w:rPr>
          <w:rFonts w:hint="default" w:ascii="Times New Roman" w:hAnsi="Times New Roman" w:eastAsia="宋体" w:cs="Times New Roman"/>
          <w:color w:val="auto"/>
          <w:szCs w:val="22"/>
          <w:highlight w:val="none"/>
          <w:lang w:val="en-US" w:eastAsia="zh-CN"/>
        </w:rPr>
        <w:t>按照整车说明书要求对燃料电池系统进行长时间储存活化操作。</w:t>
      </w:r>
    </w:p>
    <w:p>
      <w:pPr>
        <w:pStyle w:val="105"/>
        <w:spacing w:before="240" w:after="240"/>
        <w:rPr>
          <w:rFonts w:hint="default" w:ascii="Times New Roman" w:hAnsi="Times New Roman" w:cs="Times New Roman"/>
          <w:color w:val="auto"/>
          <w:highlight w:val="none"/>
        </w:rPr>
      </w:pPr>
      <w:bookmarkStart w:id="84" w:name="_Toc18164"/>
      <w:r>
        <w:rPr>
          <w:rFonts w:hint="default" w:ascii="Times New Roman" w:hAnsi="Times New Roman" w:cs="Times New Roman"/>
          <w:color w:val="auto"/>
          <w:highlight w:val="none"/>
          <w:lang w:val="en-US" w:eastAsia="zh-CN"/>
        </w:rPr>
        <w:t>氢燃料加注</w:t>
      </w:r>
      <w:bookmarkEnd w:id="84"/>
    </w:p>
    <w:p>
      <w:pPr>
        <w:pStyle w:val="106"/>
        <w:spacing w:before="120" w:after="120"/>
        <w:rPr>
          <w:rFonts w:hint="default" w:ascii="Times New Roman" w:hAnsi="Times New Roman" w:eastAsia="宋体" w:cs="Times New Roman"/>
          <w:color w:val="auto"/>
          <w:szCs w:val="22"/>
          <w:highlight w:val="none"/>
        </w:rPr>
      </w:pPr>
      <w:r>
        <w:rPr>
          <w:rFonts w:hint="default" w:ascii="Times New Roman" w:hAnsi="Times New Roman" w:eastAsia="宋体" w:cs="Times New Roman"/>
          <w:color w:val="auto"/>
          <w:szCs w:val="22"/>
          <w:highlight w:val="none"/>
          <w:lang w:val="en-US" w:eastAsia="zh-CN"/>
        </w:rPr>
        <w:t>当氢气储量</w:t>
      </w:r>
      <w:r>
        <w:rPr>
          <w:rFonts w:hint="eastAsia" w:ascii="Times New Roman" w:eastAsia="宋体" w:cs="Times New Roman"/>
          <w:color w:val="auto"/>
          <w:szCs w:val="22"/>
          <w:highlight w:val="none"/>
          <w:lang w:val="en-US" w:eastAsia="zh-CN"/>
        </w:rPr>
        <w:t>即将</w:t>
      </w:r>
      <w:r>
        <w:rPr>
          <w:rFonts w:hint="default" w:ascii="Times New Roman" w:hAnsi="Times New Roman" w:eastAsia="宋体" w:cs="Times New Roman"/>
          <w:color w:val="auto"/>
          <w:szCs w:val="22"/>
          <w:highlight w:val="none"/>
          <w:lang w:val="en-US" w:eastAsia="zh-CN"/>
        </w:rPr>
        <w:t>低于使用说明书要求值时，应</w:t>
      </w:r>
      <w:r>
        <w:rPr>
          <w:rFonts w:hint="eastAsia" w:ascii="Times New Roman" w:eastAsia="宋体" w:cs="Times New Roman"/>
          <w:color w:val="auto"/>
          <w:szCs w:val="22"/>
          <w:highlight w:val="none"/>
          <w:lang w:val="en-US" w:eastAsia="zh-CN"/>
        </w:rPr>
        <w:t>提</w:t>
      </w:r>
      <w:r>
        <w:rPr>
          <w:rFonts w:hint="default" w:ascii="Times New Roman" w:hAnsi="Times New Roman" w:eastAsia="宋体" w:cs="Times New Roman"/>
          <w:color w:val="auto"/>
          <w:szCs w:val="22"/>
          <w:highlight w:val="none"/>
          <w:lang w:val="en-US" w:eastAsia="zh-CN"/>
        </w:rPr>
        <w:t>前</w:t>
      </w:r>
      <w:r>
        <w:rPr>
          <w:rFonts w:hint="eastAsia" w:ascii="Times New Roman" w:eastAsia="宋体" w:cs="Times New Roman"/>
          <w:color w:val="auto"/>
          <w:szCs w:val="22"/>
          <w:highlight w:val="none"/>
          <w:lang w:val="en-US" w:eastAsia="zh-CN"/>
        </w:rPr>
        <w:t>到</w:t>
      </w:r>
      <w:r>
        <w:rPr>
          <w:rFonts w:hint="default" w:ascii="Times New Roman" w:hAnsi="Times New Roman" w:eastAsia="宋体" w:cs="Times New Roman"/>
          <w:color w:val="auto"/>
          <w:szCs w:val="22"/>
          <w:highlight w:val="none"/>
          <w:lang w:val="en-US" w:eastAsia="zh-CN"/>
        </w:rPr>
        <w:t>附近的加氢站加注氢气。</w:t>
      </w:r>
    </w:p>
    <w:p>
      <w:pPr>
        <w:pStyle w:val="106"/>
        <w:spacing w:before="120" w:after="12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氢燃料加注前司机应确认</w:t>
      </w:r>
      <w:r>
        <w:rPr>
          <w:rFonts w:hint="eastAsia" w:ascii="Times New Roman" w:eastAsia="宋体" w:cs="Times New Roman"/>
          <w:color w:val="auto"/>
          <w:szCs w:val="22"/>
          <w:highlight w:val="none"/>
          <w:lang w:val="en-US" w:eastAsia="zh-CN"/>
        </w:rPr>
        <w:t>关闭燃料电池系统、高压电系统，</w:t>
      </w:r>
      <w:r>
        <w:rPr>
          <w:rFonts w:hint="default" w:ascii="Times New Roman" w:hAnsi="Times New Roman" w:eastAsia="宋体" w:cs="Times New Roman"/>
          <w:color w:val="auto"/>
          <w:szCs w:val="22"/>
          <w:highlight w:val="none"/>
          <w:lang w:val="en-US" w:eastAsia="zh-CN"/>
        </w:rPr>
        <w:t>车辆已停车熄火，</w:t>
      </w:r>
      <w:r>
        <w:rPr>
          <w:rFonts w:hint="default" w:ascii="Times New Roman" w:hAnsi="Times New Roman" w:cs="Times New Roman"/>
          <w:highlight w:val="none"/>
        </w:rPr>
        <w:t>关钥匙操作和电源总开关，并进行防静电操作</w:t>
      </w:r>
      <w:r>
        <w:rPr>
          <w:rFonts w:hint="default" w:ascii="Times New Roman" w:hAnsi="Times New Roman" w:eastAsia="宋体" w:cs="Times New Roman"/>
          <w:szCs w:val="22"/>
          <w:highlight w:val="none"/>
        </w:rPr>
        <w:t>。</w:t>
      </w:r>
      <w:r>
        <w:rPr>
          <w:rFonts w:hint="eastAsia" w:ascii="Times New Roman" w:eastAsia="宋体" w:cs="Times New Roman"/>
          <w:color w:val="auto"/>
          <w:szCs w:val="22"/>
          <w:highlight w:val="none"/>
          <w:lang w:val="en-US" w:eastAsia="zh-CN"/>
        </w:rPr>
        <w:t>加氢过程中，车内严禁载人。</w:t>
      </w:r>
    </w:p>
    <w:p>
      <w:pPr>
        <w:pStyle w:val="106"/>
        <w:spacing w:before="120" w:after="120"/>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szCs w:val="22"/>
          <w:highlight w:val="none"/>
          <w:lang w:val="en-US" w:eastAsia="zh-CN"/>
        </w:rPr>
        <w:t>车辆氢燃料加注口只能与相同或更低工作压力等级的加氢机连接使用，不得与更高工作压力等级的加氢机相连。加注完应盖上燃料加注口防尘盖，同时确保加注口舱门处于锁闭状态。</w:t>
      </w:r>
    </w:p>
    <w:p>
      <w:pPr>
        <w:pStyle w:val="106"/>
        <w:spacing w:before="120" w:after="120"/>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szCs w:val="22"/>
          <w:highlight w:val="none"/>
          <w:lang w:val="en-US" w:eastAsia="zh-CN"/>
        </w:rPr>
        <w:t>氢燃料加注应按照加氢站操作规范操作。在加氢站车辆充装工取出加氢枪、示意加氢结束后方可启动车辆驶离加氢站。</w:t>
      </w:r>
    </w:p>
    <w:bookmarkEnd w:id="82"/>
    <w:bookmarkEnd w:id="83"/>
    <w:p>
      <w:pPr>
        <w:pStyle w:val="105"/>
        <w:spacing w:before="240" w:after="240"/>
        <w:rPr>
          <w:rFonts w:hint="default" w:ascii="Times New Roman" w:hAnsi="Times New Roman" w:cs="Times New Roman"/>
          <w:color w:val="auto"/>
          <w:highlight w:val="none"/>
        </w:rPr>
      </w:pPr>
      <w:bookmarkStart w:id="85" w:name="_Toc23244"/>
      <w:r>
        <w:rPr>
          <w:rFonts w:hint="default" w:ascii="Times New Roman" w:hAnsi="Times New Roman" w:cs="Times New Roman"/>
          <w:color w:val="auto"/>
          <w:highlight w:val="none"/>
          <w:lang w:val="en-US" w:eastAsia="zh-CN"/>
        </w:rPr>
        <w:t>日常检查与维护保养</w:t>
      </w:r>
      <w:bookmarkEnd w:id="85"/>
    </w:p>
    <w:p>
      <w:pPr>
        <w:pStyle w:val="106"/>
        <w:spacing w:before="120" w:after="12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日常检查</w:t>
      </w:r>
    </w:p>
    <w:p>
      <w:pPr>
        <w:pStyle w:val="231"/>
        <w:rPr>
          <w:rFonts w:hint="default" w:ascii="Times New Roman" w:hAnsi="Times New Roman" w:cs="Times New Roman"/>
          <w:color w:val="auto"/>
          <w:sz w:val="21"/>
          <w:szCs w:val="22"/>
          <w:highlight w:val="none"/>
          <w:lang w:val="en-US" w:eastAsia="zh-CN" w:bidi="ar-SA"/>
        </w:rPr>
      </w:pPr>
      <w:r>
        <w:rPr>
          <w:rFonts w:hint="default" w:ascii="Times New Roman" w:hAnsi="Times New Roman" w:cs="Times New Roman"/>
          <w:color w:val="auto"/>
          <w:highlight w:val="none"/>
          <w:lang w:val="en-US" w:eastAsia="zh-CN"/>
        </w:rPr>
        <w:t>燃料电池系统、车载供氢系统按</w:t>
      </w:r>
      <w:r>
        <w:rPr>
          <w:rFonts w:hint="default" w:ascii="Times New Roman" w:hAnsi="Times New Roman" w:eastAsia="宋体" w:cs="Times New Roman"/>
          <w:color w:val="auto"/>
          <w:sz w:val="21"/>
          <w:szCs w:val="22"/>
          <w:highlight w:val="none"/>
          <w:lang w:val="en-US" w:eastAsia="zh-CN" w:bidi="ar-SA"/>
        </w:rPr>
        <w:t>表1</w:t>
      </w:r>
      <w:r>
        <w:rPr>
          <w:rFonts w:hint="default" w:ascii="Times New Roman" w:hAnsi="Times New Roman" w:cs="Times New Roman"/>
          <w:color w:val="auto"/>
          <w:sz w:val="21"/>
          <w:szCs w:val="22"/>
          <w:highlight w:val="none"/>
          <w:lang w:val="en-US" w:eastAsia="zh-CN" w:bidi="ar-SA"/>
        </w:rPr>
        <w:t>及厂商规定项目进行日常检查。其他整车日常检查项目参照GB/T 18344、JT</w:t>
      </w:r>
      <w:r>
        <w:rPr>
          <w:rFonts w:hint="default" w:ascii="Times New Roman" w:hAnsi="Times New Roman" w:eastAsia="宋体" w:cs="Times New Roman"/>
          <w:color w:val="auto"/>
          <w:sz w:val="21"/>
          <w:szCs w:val="22"/>
          <w:highlight w:val="none"/>
          <w:lang w:val="en-US" w:eastAsia="zh-CN" w:bidi="ar-SA"/>
        </w:rPr>
        <w:t>/T 1</w:t>
      </w:r>
      <w:r>
        <w:rPr>
          <w:rFonts w:hint="default" w:ascii="Times New Roman" w:hAnsi="Times New Roman" w:cs="Times New Roman"/>
          <w:color w:val="auto"/>
          <w:sz w:val="21"/>
          <w:szCs w:val="22"/>
          <w:highlight w:val="none"/>
          <w:lang w:val="en-US" w:eastAsia="zh-CN" w:bidi="ar-SA"/>
        </w:rPr>
        <w:t>344进行。</w:t>
      </w:r>
    </w:p>
    <w:p>
      <w:pPr>
        <w:keepNext w:val="0"/>
        <w:keepLines w:val="0"/>
        <w:widowControl/>
        <w:suppressLineNumbers w:val="0"/>
        <w:jc w:val="center"/>
        <w:rPr>
          <w:rFonts w:hint="default" w:ascii="Times New Roman" w:hAnsi="Times New Roman" w:eastAsia="黑体" w:cs="Times New Roman"/>
          <w:color w:val="000000"/>
          <w:kern w:val="0"/>
          <w:sz w:val="20"/>
          <w:szCs w:val="20"/>
          <w:highlight w:val="none"/>
          <w:lang w:val="en-US" w:eastAsia="zh-CN" w:bidi="ar"/>
        </w:rPr>
      </w:pPr>
      <w:r>
        <w:rPr>
          <w:rFonts w:hint="default" w:ascii="Times New Roman" w:hAnsi="Times New Roman" w:eastAsia="黑体" w:cs="Times New Roman"/>
          <w:color w:val="000000"/>
          <w:kern w:val="0"/>
          <w:sz w:val="20"/>
          <w:szCs w:val="20"/>
          <w:highlight w:val="none"/>
          <w:lang w:val="en-US" w:eastAsia="zh-CN" w:bidi="ar"/>
        </w:rPr>
        <w:t>表1 燃料电池系统、储氢车载供氢系统日常检查项目</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2395"/>
        <w:gridCol w:w="4022"/>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序号</w:t>
            </w:r>
          </w:p>
        </w:tc>
        <w:tc>
          <w:tcPr>
            <w:tcW w:w="2395" w:type="dxa"/>
            <w:vAlign w:val="center"/>
          </w:tcPr>
          <w:p>
            <w:pPr>
              <w:keepNext w:val="0"/>
              <w:keepLines w:val="0"/>
              <w:widowControl/>
              <w:suppressLineNumbers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检查项目</w:t>
            </w:r>
          </w:p>
        </w:tc>
        <w:tc>
          <w:tcPr>
            <w:tcW w:w="4022" w:type="dxa"/>
            <w:vAlign w:val="center"/>
          </w:tcPr>
          <w:p>
            <w:pPr>
              <w:keepNext w:val="0"/>
              <w:keepLines w:val="0"/>
              <w:widowControl/>
              <w:suppressLineNumbers w:val="0"/>
              <w:jc w:val="center"/>
              <w:rPr>
                <w:rFonts w:hint="default" w:ascii="Times New Roman" w:hAnsi="Times New Roman" w:eastAsia="宋体"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技术要求</w:t>
            </w:r>
          </w:p>
        </w:tc>
        <w:tc>
          <w:tcPr>
            <w:tcW w:w="2393" w:type="dxa"/>
            <w:vAlign w:val="center"/>
          </w:tcPr>
          <w:p>
            <w:pPr>
              <w:keepNext w:val="0"/>
              <w:keepLines w:val="0"/>
              <w:widowControl/>
              <w:suppressLineNumbers w:val="0"/>
              <w:jc w:val="center"/>
              <w:rPr>
                <w:rFonts w:hint="default" w:ascii="Times New Roman" w:hAnsi="Times New Roman" w:eastAsia="宋体"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检查周期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1</w:t>
            </w:r>
          </w:p>
        </w:tc>
        <w:tc>
          <w:tcPr>
            <w:tcW w:w="2395" w:type="dxa"/>
            <w:vAlign w:val="center"/>
          </w:tcPr>
          <w:p>
            <w:pPr>
              <w:keepNext w:val="0"/>
              <w:keepLines w:val="0"/>
              <w:widowControl/>
              <w:suppressLineNumbers w:val="0"/>
              <w:jc w:val="center"/>
              <w:rPr>
                <w:rFonts w:hint="default" w:ascii="Times New Roman" w:hAnsi="Times New Roman" w:cs="Times New Roman"/>
                <w:sz w:val="18"/>
                <w:szCs w:val="18"/>
                <w:highlight w:val="none"/>
                <w:lang w:val="en-US" w:eastAsia="zh-CN"/>
              </w:rPr>
            </w:pPr>
            <w:r>
              <w:rPr>
                <w:rFonts w:hint="default" w:ascii="Times New Roman" w:hAnsi="Times New Roman" w:cs="Times New Roman"/>
                <w:sz w:val="18"/>
                <w:szCs w:val="18"/>
                <w:highlight w:val="none"/>
              </w:rPr>
              <w:t>燃料电池系统外观</w:t>
            </w:r>
          </w:p>
        </w:tc>
        <w:tc>
          <w:tcPr>
            <w:tcW w:w="4022"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cs="Times New Roman"/>
                <w:sz w:val="18"/>
                <w:szCs w:val="18"/>
                <w:highlight w:val="none"/>
              </w:rPr>
              <w:t>燃料电池系统</w:t>
            </w:r>
            <w:r>
              <w:rPr>
                <w:rFonts w:hint="default" w:ascii="Times New Roman" w:hAnsi="Times New Roman" w:cs="Times New Roman"/>
                <w:sz w:val="18"/>
                <w:szCs w:val="18"/>
                <w:highlight w:val="none"/>
                <w:lang w:val="en-US" w:eastAsia="zh-CN"/>
              </w:rPr>
              <w:t>外观无异常，</w:t>
            </w:r>
            <w:r>
              <w:rPr>
                <w:rFonts w:hint="default" w:ascii="Times New Roman" w:hAnsi="Times New Roman" w:cs="Times New Roman"/>
                <w:sz w:val="18"/>
                <w:szCs w:val="18"/>
                <w:highlight w:val="none"/>
              </w:rPr>
              <w:t>管路</w:t>
            </w:r>
            <w:r>
              <w:rPr>
                <w:rFonts w:hint="default" w:ascii="Times New Roman" w:hAnsi="Times New Roman" w:cs="Times New Roman"/>
                <w:sz w:val="18"/>
                <w:szCs w:val="18"/>
                <w:highlight w:val="none"/>
                <w:lang w:val="en-US" w:eastAsia="zh-CN"/>
              </w:rPr>
              <w:t>无泄漏</w:t>
            </w:r>
          </w:p>
        </w:tc>
        <w:tc>
          <w:tcPr>
            <w:tcW w:w="2393"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出车前、收车后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2</w:t>
            </w:r>
          </w:p>
        </w:tc>
        <w:tc>
          <w:tcPr>
            <w:tcW w:w="2395" w:type="dxa"/>
            <w:vAlign w:val="center"/>
          </w:tcPr>
          <w:p>
            <w:pPr>
              <w:keepNext w:val="0"/>
              <w:keepLines w:val="0"/>
              <w:widowControl/>
              <w:suppressLineNumbers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燃料电池系统工作状态</w:t>
            </w:r>
          </w:p>
        </w:tc>
        <w:tc>
          <w:tcPr>
            <w:tcW w:w="4022" w:type="dxa"/>
            <w:vAlign w:val="center"/>
          </w:tcPr>
          <w:p>
            <w:pPr>
              <w:keepNext w:val="0"/>
              <w:keepLines w:val="0"/>
              <w:widowControl/>
              <w:suppressLineNumbers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仪表显示正常，运行平稳，无异常振动和噪声</w:t>
            </w:r>
          </w:p>
        </w:tc>
        <w:tc>
          <w:tcPr>
            <w:tcW w:w="2393"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出车前、行驶中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3</w:t>
            </w:r>
          </w:p>
        </w:tc>
        <w:tc>
          <w:tcPr>
            <w:tcW w:w="2395" w:type="dxa"/>
            <w:vAlign w:val="center"/>
          </w:tcPr>
          <w:p>
            <w:pPr>
              <w:keepNext w:val="0"/>
              <w:keepLines w:val="0"/>
              <w:widowControl/>
              <w:suppressLineNumbers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rPr>
              <w:t>燃料电池系统冷却液液</w:t>
            </w:r>
            <w:r>
              <w:rPr>
                <w:rFonts w:hint="default" w:ascii="Times New Roman" w:hAnsi="Times New Roman" w:cs="Times New Roman"/>
                <w:sz w:val="18"/>
                <w:szCs w:val="18"/>
                <w:highlight w:val="none"/>
                <w:lang w:val="en-US" w:eastAsia="zh-CN"/>
              </w:rPr>
              <w:t>位</w:t>
            </w:r>
          </w:p>
        </w:tc>
        <w:tc>
          <w:tcPr>
            <w:tcW w:w="4022"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液位高度符合规定</w:t>
            </w:r>
          </w:p>
        </w:tc>
        <w:tc>
          <w:tcPr>
            <w:tcW w:w="2393"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出车前、收车后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4</w:t>
            </w:r>
          </w:p>
        </w:tc>
        <w:tc>
          <w:tcPr>
            <w:tcW w:w="2395" w:type="dxa"/>
            <w:shd w:val="clear" w:color="auto" w:fill="auto"/>
            <w:vAlign w:val="center"/>
          </w:tcPr>
          <w:p>
            <w:pPr>
              <w:keepNext w:val="0"/>
              <w:keepLines w:val="0"/>
              <w:widowControl/>
              <w:suppressLineNumbers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车载供氢系统外观</w:t>
            </w:r>
          </w:p>
        </w:tc>
        <w:tc>
          <w:tcPr>
            <w:tcW w:w="4022" w:type="dxa"/>
            <w:shd w:val="clear" w:color="auto" w:fill="auto"/>
            <w:vAlign w:val="center"/>
          </w:tcPr>
          <w:p>
            <w:pPr>
              <w:keepNext w:val="0"/>
              <w:keepLines w:val="0"/>
              <w:widowControl/>
              <w:suppressLineNumbers w:val="0"/>
              <w:jc w:val="center"/>
              <w:rPr>
                <w:rFonts w:hint="default" w:ascii="Times New Roman" w:hAnsi="Times New Roman" w:eastAsia="宋体" w:cs="Times New Roman"/>
                <w:color w:val="000000"/>
                <w:kern w:val="0"/>
                <w:sz w:val="18"/>
                <w:szCs w:val="18"/>
                <w:highlight w:val="none"/>
                <w:lang w:val="en-US" w:eastAsia="zh-CN" w:bidi="ar"/>
              </w:rPr>
            </w:pPr>
            <w:r>
              <w:rPr>
                <w:rFonts w:hint="default" w:ascii="Times New Roman" w:hAnsi="Times New Roman" w:cs="Times New Roman"/>
                <w:sz w:val="18"/>
                <w:szCs w:val="18"/>
                <w:highlight w:val="none"/>
              </w:rPr>
              <w:t>车载供氢系统</w:t>
            </w:r>
            <w:r>
              <w:rPr>
                <w:rFonts w:hint="default" w:ascii="Times New Roman" w:hAnsi="Times New Roman" w:cs="Times New Roman"/>
                <w:sz w:val="18"/>
                <w:szCs w:val="18"/>
                <w:highlight w:val="none"/>
                <w:lang w:val="en-US" w:eastAsia="zh-CN"/>
              </w:rPr>
              <w:t>外观无异常，</w:t>
            </w:r>
            <w:r>
              <w:rPr>
                <w:rFonts w:hint="default" w:ascii="Times New Roman" w:hAnsi="Times New Roman" w:cs="Times New Roman"/>
                <w:sz w:val="18"/>
                <w:szCs w:val="18"/>
                <w:highlight w:val="none"/>
              </w:rPr>
              <w:t>管路</w:t>
            </w:r>
            <w:r>
              <w:rPr>
                <w:rFonts w:hint="default" w:ascii="Times New Roman" w:hAnsi="Times New Roman" w:cs="Times New Roman"/>
                <w:sz w:val="18"/>
                <w:szCs w:val="18"/>
                <w:highlight w:val="none"/>
                <w:lang w:val="en-US" w:eastAsia="zh-CN"/>
              </w:rPr>
              <w:t>无泄漏</w:t>
            </w:r>
          </w:p>
        </w:tc>
        <w:tc>
          <w:tcPr>
            <w:tcW w:w="2393" w:type="dxa"/>
            <w:shd w:val="clear" w:color="auto" w:fill="auto"/>
            <w:vAlign w:val="center"/>
          </w:tcPr>
          <w:p>
            <w:pPr>
              <w:keepNext w:val="0"/>
              <w:keepLines w:val="0"/>
              <w:widowControl/>
              <w:suppressLineNumbers w:val="0"/>
              <w:jc w:val="center"/>
              <w:rPr>
                <w:rFonts w:hint="default" w:ascii="Times New Roman" w:hAnsi="Times New Roman" w:eastAsia="宋体"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出车前、收车后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5</w:t>
            </w:r>
          </w:p>
        </w:tc>
        <w:tc>
          <w:tcPr>
            <w:tcW w:w="2395" w:type="dxa"/>
            <w:shd w:val="clear" w:color="auto" w:fill="auto"/>
            <w:vAlign w:val="center"/>
          </w:tcPr>
          <w:p>
            <w:pPr>
              <w:keepNext w:val="0"/>
              <w:keepLines w:val="0"/>
              <w:widowControl/>
              <w:suppressLineNumbers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车载供氢</w:t>
            </w:r>
            <w:r>
              <w:rPr>
                <w:rFonts w:hint="default" w:ascii="Times New Roman" w:hAnsi="Times New Roman" w:cs="Times New Roman"/>
                <w:sz w:val="18"/>
                <w:szCs w:val="18"/>
                <w:highlight w:val="none"/>
                <w:lang w:val="en-US" w:eastAsia="zh-CN"/>
              </w:rPr>
              <w:t>系统工作状态</w:t>
            </w:r>
          </w:p>
        </w:tc>
        <w:tc>
          <w:tcPr>
            <w:tcW w:w="4022" w:type="dxa"/>
            <w:shd w:val="clear" w:color="auto" w:fill="auto"/>
            <w:vAlign w:val="center"/>
          </w:tcPr>
          <w:p>
            <w:pPr>
              <w:keepNext w:val="0"/>
              <w:keepLines w:val="0"/>
              <w:widowControl/>
              <w:suppressLineNumbers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仪表显示正常，无异常振动和噪声</w:t>
            </w:r>
          </w:p>
        </w:tc>
        <w:tc>
          <w:tcPr>
            <w:tcW w:w="2393" w:type="dxa"/>
            <w:shd w:val="clear" w:color="auto" w:fill="auto"/>
            <w:vAlign w:val="center"/>
          </w:tcPr>
          <w:p>
            <w:pPr>
              <w:keepNext w:val="0"/>
              <w:keepLines w:val="0"/>
              <w:widowControl/>
              <w:suppressLineNumbers w:val="0"/>
              <w:jc w:val="center"/>
              <w:rPr>
                <w:rFonts w:hint="default" w:ascii="Times New Roman" w:hAnsi="Times New Roman" w:eastAsia="宋体"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出车前、行驶中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6</w:t>
            </w:r>
          </w:p>
        </w:tc>
        <w:tc>
          <w:tcPr>
            <w:tcW w:w="2395" w:type="dxa"/>
            <w:vAlign w:val="center"/>
          </w:tcPr>
          <w:p>
            <w:pPr>
              <w:keepNext w:val="0"/>
              <w:keepLines w:val="0"/>
              <w:widowControl/>
              <w:suppressLineNumbers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rPr>
              <w:t>车载供氢</w:t>
            </w:r>
            <w:r>
              <w:rPr>
                <w:rFonts w:hint="default" w:ascii="Times New Roman" w:hAnsi="Times New Roman" w:cs="Times New Roman"/>
                <w:sz w:val="18"/>
                <w:szCs w:val="18"/>
                <w:highlight w:val="none"/>
                <w:lang w:val="en-US" w:eastAsia="zh-CN"/>
              </w:rPr>
              <w:t>系统加氢口</w:t>
            </w:r>
          </w:p>
        </w:tc>
        <w:tc>
          <w:tcPr>
            <w:tcW w:w="4022" w:type="dxa"/>
            <w:vAlign w:val="center"/>
          </w:tcPr>
          <w:p>
            <w:pPr>
              <w:pStyle w:val="179"/>
              <w:keepNext w:val="0"/>
              <w:keepLines w:val="0"/>
              <w:pageBreakBefore w:val="0"/>
              <w:widowControl/>
              <w:kinsoku/>
              <w:wordWrap/>
              <w:overflowPunct/>
              <w:topLinePunct w:val="0"/>
              <w:autoSpaceDE w:val="0"/>
              <w:autoSpaceDN w:val="0"/>
              <w:bidi w:val="0"/>
              <w:adjustRightInd/>
              <w:snapToGrid/>
              <w:jc w:val="center"/>
              <w:textAlignment w:val="auto"/>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eastAsia="宋体" w:cs="Times New Roman"/>
                <w:kern w:val="2"/>
                <w:sz w:val="18"/>
                <w:szCs w:val="18"/>
                <w:highlight w:val="none"/>
                <w:lang w:val="en-US" w:eastAsia="zh-CN" w:bidi="ar-SA"/>
              </w:rPr>
              <w:t>加氢口</w:t>
            </w:r>
            <w:r>
              <w:rPr>
                <w:rFonts w:hint="default" w:ascii="Times New Roman" w:hAnsi="Times New Roman" w:cs="Times New Roman"/>
                <w:kern w:val="2"/>
                <w:sz w:val="18"/>
                <w:szCs w:val="18"/>
                <w:highlight w:val="none"/>
                <w:lang w:val="en-US" w:eastAsia="zh-CN" w:bidi="ar-SA"/>
              </w:rPr>
              <w:t>无磕碰、</w:t>
            </w:r>
            <w:r>
              <w:rPr>
                <w:rFonts w:hint="default" w:ascii="Times New Roman" w:hAnsi="Times New Roman" w:eastAsia="宋体" w:cs="Times New Roman"/>
                <w:kern w:val="2"/>
                <w:sz w:val="18"/>
                <w:szCs w:val="18"/>
                <w:highlight w:val="none"/>
                <w:lang w:val="en-US" w:eastAsia="zh-CN" w:bidi="ar-SA"/>
              </w:rPr>
              <w:t>固定装置无松动、内部无积灰、加氢口护套完整无脱落</w:t>
            </w:r>
          </w:p>
        </w:tc>
        <w:tc>
          <w:tcPr>
            <w:tcW w:w="2393" w:type="dxa"/>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lang w:val="en-US" w:eastAsia="zh-CN" w:bidi="ar"/>
              </w:rPr>
            </w:pPr>
            <w:r>
              <w:rPr>
                <w:rFonts w:hint="default" w:ascii="Times New Roman" w:hAnsi="Times New Roman" w:cs="Times New Roman"/>
                <w:color w:val="000000"/>
                <w:kern w:val="0"/>
                <w:sz w:val="18"/>
                <w:szCs w:val="18"/>
                <w:highlight w:val="none"/>
                <w:lang w:val="en-US" w:eastAsia="zh-CN" w:bidi="ar"/>
              </w:rPr>
              <w:t>加氢时随检</w:t>
            </w:r>
          </w:p>
        </w:tc>
      </w:tr>
    </w:tbl>
    <w:p>
      <w:pPr>
        <w:pStyle w:val="231"/>
        <w:ind w:left="0" w:leftChars="0" w:firstLine="0" w:firstLineChars="0"/>
        <w:rPr>
          <w:rFonts w:hint="default" w:ascii="Times New Roman" w:hAnsi="Times New Roman" w:cs="Times New Roman"/>
          <w:color w:val="auto"/>
          <w:sz w:val="18"/>
          <w:szCs w:val="18"/>
          <w:highlight w:val="none"/>
          <w:lang w:val="en-US" w:eastAsia="zh-CN" w:bidi="ar-SA"/>
        </w:rPr>
      </w:pPr>
    </w:p>
    <w:p>
      <w:pPr>
        <w:pStyle w:val="106"/>
        <w:spacing w:before="120" w:after="120"/>
        <w:rPr>
          <w:rFonts w:hint="default" w:ascii="Times New Roman" w:hAnsi="Times New Roman" w:cs="Times New Roman"/>
          <w:color w:val="auto"/>
          <w:highlight w:val="none"/>
        </w:rPr>
      </w:pPr>
      <w:bookmarkStart w:id="86" w:name="_Toc115354703"/>
      <w:bookmarkStart w:id="87" w:name="_Toc115354306"/>
      <w:bookmarkStart w:id="88" w:name="_Toc115354671"/>
      <w:r>
        <w:rPr>
          <w:rFonts w:hint="default" w:ascii="Times New Roman" w:hAnsi="Times New Roman" w:cs="Times New Roman"/>
          <w:color w:val="auto"/>
          <w:highlight w:val="none"/>
          <w:lang w:val="en-US" w:eastAsia="zh-CN"/>
        </w:rPr>
        <w:t>维护保养</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应仔细阅读氢燃料电池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 xml:space="preserve">商用车制造厂商提供的服务手册，熟悉汽车维护、保养相关的信息，包括维护保养场所要求、维护保养项目和周期、维护保养方法和程序、维护工具和装备、维护保养可能出现的危险、危险发生时的应对措施等。 </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 xml:space="preserve">氢燃料电池系统维护时，应先确认其输出端的电压降为安全操作电压，系统气压状态属于安全标准，再确认冷却液、电堆处于低温状态后进行操作。 </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氢燃料电池系统维护保养内容参见表</w:t>
      </w:r>
      <w:r>
        <w:rPr>
          <w:rFonts w:hint="default" w:ascii="Times New Roman" w:hAnsi="Times New Roman" w:cs="Times New Roman"/>
          <w:color w:val="auto"/>
          <w:szCs w:val="22"/>
          <w:highlight w:val="none"/>
          <w:lang w:val="en-US" w:eastAsia="zh-CN"/>
        </w:rPr>
        <w:t>2，</w:t>
      </w:r>
      <w:r>
        <w:rPr>
          <w:rFonts w:hint="default" w:ascii="Times New Roman" w:hAnsi="Times New Roman" w:eastAsia="宋体" w:cs="Times New Roman"/>
          <w:color w:val="auto"/>
          <w:szCs w:val="22"/>
          <w:highlight w:val="none"/>
          <w:lang w:val="en-US" w:eastAsia="zh-CN"/>
        </w:rPr>
        <w:t>车载供氢系统维护保养内容参见表</w:t>
      </w:r>
      <w:r>
        <w:rPr>
          <w:rFonts w:hint="default" w:ascii="Times New Roman" w:hAnsi="Times New Roman" w:cs="Times New Roman"/>
          <w:color w:val="auto"/>
          <w:szCs w:val="22"/>
          <w:highlight w:val="none"/>
          <w:lang w:val="en-US" w:eastAsia="zh-CN"/>
        </w:rPr>
        <w:t>3，若厂商另有规定，按照厂商规定要求执行</w:t>
      </w:r>
      <w:r>
        <w:rPr>
          <w:rFonts w:hint="default" w:ascii="Times New Roman" w:hAnsi="Times New Roman" w:eastAsia="宋体" w:cs="Times New Roman"/>
          <w:color w:val="auto"/>
          <w:szCs w:val="22"/>
          <w:highlight w:val="none"/>
          <w:lang w:val="en-US" w:eastAsia="zh-CN"/>
        </w:rPr>
        <w:t>。</w:t>
      </w:r>
      <w:r>
        <w:rPr>
          <w:rFonts w:hint="default" w:ascii="Times New Roman" w:hAnsi="Times New Roman" w:cs="Times New Roman"/>
          <w:color w:val="auto"/>
          <w:sz w:val="21"/>
          <w:szCs w:val="22"/>
          <w:highlight w:val="none"/>
          <w:lang w:val="en-US" w:eastAsia="zh-CN" w:bidi="ar-SA"/>
        </w:rPr>
        <w:t>其他整车维保项目参照GB/T 18344、JT</w:t>
      </w:r>
      <w:r>
        <w:rPr>
          <w:rFonts w:hint="default" w:ascii="Times New Roman" w:hAnsi="Times New Roman" w:eastAsia="宋体" w:cs="Times New Roman"/>
          <w:color w:val="auto"/>
          <w:sz w:val="21"/>
          <w:szCs w:val="22"/>
          <w:highlight w:val="none"/>
          <w:lang w:val="en-US" w:eastAsia="zh-CN" w:bidi="ar-SA"/>
        </w:rPr>
        <w:t>/T 1</w:t>
      </w:r>
      <w:r>
        <w:rPr>
          <w:rFonts w:hint="default" w:ascii="Times New Roman" w:hAnsi="Times New Roman" w:cs="Times New Roman"/>
          <w:color w:val="auto"/>
          <w:sz w:val="21"/>
          <w:szCs w:val="22"/>
          <w:highlight w:val="none"/>
          <w:lang w:val="en-US" w:eastAsia="zh-CN" w:bidi="ar-SA"/>
        </w:rPr>
        <w:t>344进行。</w:t>
      </w:r>
    </w:p>
    <w:p>
      <w:pPr>
        <w:keepNext w:val="0"/>
        <w:keepLines w:val="0"/>
        <w:widowControl/>
        <w:suppressLineNumbers w:val="0"/>
        <w:jc w:val="center"/>
        <w:rPr>
          <w:rFonts w:hint="default" w:ascii="Times New Roman" w:hAnsi="Times New Roman" w:eastAsia="黑体" w:cs="Times New Roman"/>
          <w:color w:val="000000"/>
          <w:kern w:val="0"/>
          <w:sz w:val="20"/>
          <w:szCs w:val="20"/>
          <w:highlight w:val="none"/>
          <w:lang w:val="en-US" w:eastAsia="zh-CN" w:bidi="ar"/>
        </w:rPr>
      </w:pPr>
      <w:r>
        <w:rPr>
          <w:rFonts w:hint="default" w:ascii="Times New Roman" w:hAnsi="Times New Roman" w:eastAsia="黑体" w:cs="Times New Roman"/>
          <w:color w:val="000000"/>
          <w:kern w:val="0"/>
          <w:sz w:val="20"/>
          <w:szCs w:val="20"/>
          <w:highlight w:val="none"/>
          <w:lang w:val="en-US" w:eastAsia="zh-CN" w:bidi="ar"/>
        </w:rPr>
        <w:t>表2 燃料电池系统维护项目要求</w:t>
      </w:r>
    </w:p>
    <w:tbl>
      <w:tblPr>
        <w:tblStyle w:val="28"/>
        <w:tblW w:w="9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1934"/>
        <w:gridCol w:w="3317"/>
        <w:gridCol w:w="1333"/>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68"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序号</w:t>
            </w:r>
          </w:p>
        </w:tc>
        <w:tc>
          <w:tcPr>
            <w:tcW w:w="1934"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维护项目</w:t>
            </w:r>
          </w:p>
        </w:tc>
        <w:tc>
          <w:tcPr>
            <w:tcW w:w="3317"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维护内容</w:t>
            </w:r>
          </w:p>
        </w:tc>
        <w:tc>
          <w:tcPr>
            <w:tcW w:w="1333"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维护周期</w:t>
            </w:r>
          </w:p>
        </w:tc>
        <w:tc>
          <w:tcPr>
            <w:tcW w:w="2310"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68"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bookmarkStart w:id="89" w:name="_Hlk180757327"/>
            <w:r>
              <w:rPr>
                <w:rFonts w:hint="default" w:ascii="Times New Roman" w:hAnsi="Times New Roman" w:cs="Times New Roman"/>
                <w:color w:val="000000"/>
                <w:kern w:val="0"/>
                <w:sz w:val="18"/>
                <w:szCs w:val="18"/>
                <w:highlight w:val="none"/>
                <w:vertAlign w:val="baseline"/>
                <w:lang w:val="en-US" w:eastAsia="zh-CN" w:bidi="ar"/>
              </w:rPr>
              <w:t>1</w:t>
            </w:r>
          </w:p>
        </w:tc>
        <w:tc>
          <w:tcPr>
            <w:tcW w:w="1934"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燃料电池系统外观</w:t>
            </w:r>
          </w:p>
        </w:tc>
        <w:tc>
          <w:tcPr>
            <w:tcW w:w="3317"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检查燃料电池系统机械结构是否变形；</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检查各管路是否有泄漏、破损；</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检查高低压线束是否有皲裂、线束固定件是否脱落或松动</w:t>
            </w:r>
          </w:p>
        </w:tc>
        <w:tc>
          <w:tcPr>
            <w:tcW w:w="1333"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每3个月</w:t>
            </w:r>
          </w:p>
        </w:tc>
        <w:tc>
          <w:tcPr>
            <w:tcW w:w="2310"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5" w:hRule="atLeast"/>
          <w:jc w:val="center"/>
        </w:trPr>
        <w:tc>
          <w:tcPr>
            <w:tcW w:w="668"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2</w:t>
            </w:r>
          </w:p>
        </w:tc>
        <w:tc>
          <w:tcPr>
            <w:tcW w:w="1934"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空气滤芯</w:t>
            </w:r>
          </w:p>
        </w:tc>
        <w:tc>
          <w:tcPr>
            <w:tcW w:w="3317"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更换</w:t>
            </w:r>
          </w:p>
        </w:tc>
        <w:tc>
          <w:tcPr>
            <w:tcW w:w="1333"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每6个月或7500km</w:t>
            </w:r>
          </w:p>
        </w:tc>
        <w:tc>
          <w:tcPr>
            <w:tcW w:w="2310"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根据运行环境空气质量可缩短或延长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68"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3</w:t>
            </w:r>
          </w:p>
        </w:tc>
        <w:tc>
          <w:tcPr>
            <w:tcW w:w="1934"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去离子器滤芯</w:t>
            </w:r>
          </w:p>
        </w:tc>
        <w:tc>
          <w:tcPr>
            <w:tcW w:w="3317"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更换</w:t>
            </w:r>
          </w:p>
        </w:tc>
        <w:tc>
          <w:tcPr>
            <w:tcW w:w="1333"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每1年或15000km</w:t>
            </w:r>
          </w:p>
        </w:tc>
        <w:tc>
          <w:tcPr>
            <w:tcW w:w="2310"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当冷却液电导率值低于厂商规定值时应立即更换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9" w:hRule="atLeast"/>
          <w:jc w:val="center"/>
        </w:trPr>
        <w:tc>
          <w:tcPr>
            <w:tcW w:w="668" w:type="dxa"/>
            <w:vMerge w:val="restart"/>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4</w:t>
            </w:r>
          </w:p>
        </w:tc>
        <w:tc>
          <w:tcPr>
            <w:tcW w:w="1934" w:type="dxa"/>
            <w:vMerge w:val="restart"/>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燃料电池系统冷却液</w:t>
            </w:r>
          </w:p>
        </w:tc>
        <w:tc>
          <w:tcPr>
            <w:tcW w:w="3317"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检查电导率，若电导率＞10μS/cm或厂商规定值时，更换</w:t>
            </w:r>
          </w:p>
        </w:tc>
        <w:tc>
          <w:tcPr>
            <w:tcW w:w="1333"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推荐每15000km</w:t>
            </w:r>
          </w:p>
        </w:tc>
        <w:tc>
          <w:tcPr>
            <w:tcW w:w="2310"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3" w:hRule="atLeast"/>
          <w:jc w:val="center"/>
        </w:trPr>
        <w:tc>
          <w:tcPr>
            <w:tcW w:w="668" w:type="dxa"/>
            <w:vMerge w:val="continue"/>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c>
          <w:tcPr>
            <w:tcW w:w="1934" w:type="dxa"/>
            <w:vMerge w:val="continue"/>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c>
          <w:tcPr>
            <w:tcW w:w="3317"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检查冰点值，若冰点值高于当地最低温度或厂商规定值时，更换</w:t>
            </w:r>
          </w:p>
        </w:tc>
        <w:tc>
          <w:tcPr>
            <w:tcW w:w="1333"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每年冬季</w:t>
            </w:r>
          </w:p>
        </w:tc>
        <w:tc>
          <w:tcPr>
            <w:tcW w:w="2310" w:type="dxa"/>
            <w:tcBorders>
              <w:tl2br w:val="nil"/>
              <w:tr2bl w:val="nil"/>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r>
      <w:bookmarkEnd w:id="89"/>
    </w:tbl>
    <w:p>
      <w:pPr>
        <w:pStyle w:val="231"/>
        <w:ind w:left="0" w:leftChars="0" w:firstLine="0" w:firstLineChars="0"/>
        <w:rPr>
          <w:rFonts w:hint="default" w:ascii="Times New Roman" w:hAnsi="Times New Roman" w:eastAsia="黑体" w:cs="Times New Roman"/>
          <w:color w:val="000000"/>
          <w:kern w:val="0"/>
          <w:sz w:val="18"/>
          <w:szCs w:val="18"/>
          <w:highlight w:val="none"/>
          <w:lang w:val="en-US" w:eastAsia="zh-CN" w:bidi="ar"/>
        </w:rPr>
      </w:pPr>
    </w:p>
    <w:p>
      <w:pPr>
        <w:keepNext w:val="0"/>
        <w:keepLines w:val="0"/>
        <w:widowControl/>
        <w:suppressLineNumbers w:val="0"/>
        <w:jc w:val="center"/>
        <w:rPr>
          <w:rFonts w:hint="default" w:ascii="Times New Roman" w:hAnsi="Times New Roman" w:eastAsia="黑体" w:cs="Times New Roman"/>
          <w:color w:val="000000"/>
          <w:kern w:val="0"/>
          <w:sz w:val="20"/>
          <w:szCs w:val="20"/>
          <w:highlight w:val="none"/>
          <w:lang w:val="en-US" w:eastAsia="zh-CN" w:bidi="ar"/>
        </w:rPr>
      </w:pPr>
      <w:r>
        <w:rPr>
          <w:rFonts w:hint="default" w:ascii="Times New Roman" w:hAnsi="Times New Roman" w:eastAsia="黑体" w:cs="Times New Roman"/>
          <w:color w:val="000000"/>
          <w:kern w:val="0"/>
          <w:sz w:val="20"/>
          <w:szCs w:val="20"/>
          <w:highlight w:val="none"/>
          <w:lang w:val="en-US" w:eastAsia="zh-CN" w:bidi="ar"/>
        </w:rPr>
        <w:t>表3车载供氢系统维护项目要求</w:t>
      </w:r>
    </w:p>
    <w:tbl>
      <w:tblPr>
        <w:tblStyle w:val="28"/>
        <w:tblW w:w="97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75"/>
        <w:gridCol w:w="1425"/>
        <w:gridCol w:w="6165"/>
        <w:gridCol w:w="15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75" w:type="dxa"/>
            <w:tcBorders>
              <w:top w:val="single" w:color="auto" w:sz="8" w:space="0"/>
              <w:bottom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序号</w:t>
            </w:r>
          </w:p>
        </w:tc>
        <w:tc>
          <w:tcPr>
            <w:tcW w:w="1425" w:type="dxa"/>
            <w:tcBorders>
              <w:top w:val="single" w:color="auto" w:sz="8" w:space="0"/>
              <w:bottom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维护项目</w:t>
            </w:r>
          </w:p>
        </w:tc>
        <w:tc>
          <w:tcPr>
            <w:tcW w:w="6165" w:type="dxa"/>
            <w:tcBorders>
              <w:top w:val="single" w:color="auto" w:sz="8" w:space="0"/>
              <w:bottom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维护内容</w:t>
            </w:r>
          </w:p>
        </w:tc>
        <w:tc>
          <w:tcPr>
            <w:tcW w:w="1506" w:type="dxa"/>
            <w:tcBorders>
              <w:top w:val="single" w:color="auto" w:sz="8" w:space="0"/>
              <w:bottom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维护周期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96" w:hRule="atLeast"/>
          <w:jc w:val="center"/>
        </w:trPr>
        <w:tc>
          <w:tcPr>
            <w:tcW w:w="675" w:type="dxa"/>
            <w:tcBorders>
              <w:top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1</w:t>
            </w:r>
          </w:p>
        </w:tc>
        <w:tc>
          <w:tcPr>
            <w:tcW w:w="1425" w:type="dxa"/>
            <w:tcBorders>
              <w:top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氢系统外观</w:t>
            </w:r>
          </w:p>
        </w:tc>
        <w:tc>
          <w:tcPr>
            <w:tcW w:w="6165" w:type="dxa"/>
            <w:tcBorders>
              <w:top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气瓶表观是否有刮伤或者变形；</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气瓶底座胶皮是否脱落；</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气瓶固定装置是否松动；</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系统支架是否有明显外力碰撞或者挤压变形现象</w:t>
            </w:r>
          </w:p>
        </w:tc>
        <w:tc>
          <w:tcPr>
            <w:tcW w:w="1506" w:type="dxa"/>
            <w:tcBorders>
              <w:top w:val="single" w:color="auto" w:sz="8" w:space="0"/>
            </w:tcBorders>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每3个月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7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2</w:t>
            </w:r>
          </w:p>
        </w:tc>
        <w:tc>
          <w:tcPr>
            <w:tcW w:w="142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供氢系统管路、接头及阀件</w:t>
            </w:r>
          </w:p>
        </w:tc>
        <w:tc>
          <w:tcPr>
            <w:tcW w:w="616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 xml:space="preserve">使用氢泄漏检测仪检测系统阀件、接头、管路等是否有泄漏；                                                </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检查卸荷阀铅封标识是否脱落；</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检查管路管夹、阀门固定件是否有松动或者脱落，管道表面是否有刮伤或者变形现象；</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检查管道是否有被外力挤压或或者磨损</w:t>
            </w:r>
          </w:p>
        </w:tc>
        <w:tc>
          <w:tcPr>
            <w:tcW w:w="1506"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每3个月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47" w:hRule="atLeast"/>
          <w:jc w:val="center"/>
        </w:trPr>
        <w:tc>
          <w:tcPr>
            <w:tcW w:w="675" w:type="dxa"/>
            <w:vMerge w:val="restart"/>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3</w:t>
            </w:r>
          </w:p>
        </w:tc>
        <w:tc>
          <w:tcPr>
            <w:tcW w:w="1425" w:type="dxa"/>
            <w:vMerge w:val="restart"/>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加氢口</w:t>
            </w:r>
          </w:p>
        </w:tc>
        <w:tc>
          <w:tcPr>
            <w:tcW w:w="616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检查加氢口固定装置是否松动；</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检查加氢口内部积灰情况；</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 xml:space="preserve">检查加氢口护套（每次加氢时都需要检查，如发现脱落要立即更换）                       </w:t>
            </w:r>
          </w:p>
        </w:tc>
        <w:tc>
          <w:tcPr>
            <w:tcW w:w="1506"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每次加氢时随检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2" w:hRule="atLeast"/>
          <w:jc w:val="center"/>
        </w:trPr>
        <w:tc>
          <w:tcPr>
            <w:tcW w:w="675" w:type="dxa"/>
            <w:vMerge w:val="continue"/>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c>
          <w:tcPr>
            <w:tcW w:w="1425" w:type="dxa"/>
            <w:vMerge w:val="continue"/>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c>
          <w:tcPr>
            <w:tcW w:w="616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使用氢气泄露检测仪检查是否有泄露</w:t>
            </w:r>
          </w:p>
        </w:tc>
        <w:tc>
          <w:tcPr>
            <w:tcW w:w="1506"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每3个月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26" w:hRule="atLeast"/>
          <w:jc w:val="center"/>
        </w:trPr>
        <w:tc>
          <w:tcPr>
            <w:tcW w:w="675" w:type="dxa"/>
            <w:vMerge w:val="restart"/>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4</w:t>
            </w:r>
          </w:p>
        </w:tc>
        <w:tc>
          <w:tcPr>
            <w:tcW w:w="1425" w:type="dxa"/>
            <w:vMerge w:val="restart"/>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氢浓度传感器</w:t>
            </w:r>
          </w:p>
        </w:tc>
        <w:tc>
          <w:tcPr>
            <w:tcW w:w="616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检查并清理氢浓度传感器表面积灰</w:t>
            </w:r>
          </w:p>
        </w:tc>
        <w:tc>
          <w:tcPr>
            <w:tcW w:w="1506"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每3个月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45" w:hRule="atLeast"/>
          <w:jc w:val="center"/>
        </w:trPr>
        <w:tc>
          <w:tcPr>
            <w:tcW w:w="675" w:type="dxa"/>
            <w:vMerge w:val="continue"/>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c>
          <w:tcPr>
            <w:tcW w:w="1425" w:type="dxa"/>
            <w:vMerge w:val="continue"/>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p>
        </w:tc>
        <w:tc>
          <w:tcPr>
            <w:tcW w:w="616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功能校验</w:t>
            </w:r>
          </w:p>
        </w:tc>
        <w:tc>
          <w:tcPr>
            <w:tcW w:w="1506"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1年或厂商规定的检测周期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7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5</w:t>
            </w:r>
          </w:p>
        </w:tc>
        <w:tc>
          <w:tcPr>
            <w:tcW w:w="142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线束</w:t>
            </w:r>
          </w:p>
        </w:tc>
        <w:tc>
          <w:tcPr>
            <w:tcW w:w="6165"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线束外观检查，有无老化或者护套缺失脱落；</w:t>
            </w:r>
          </w:p>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检查线束卡扣防水密封是否完好，固定件是否脱落或松动</w:t>
            </w:r>
          </w:p>
        </w:tc>
        <w:tc>
          <w:tcPr>
            <w:tcW w:w="1506" w:type="dxa"/>
            <w:shd w:val="clear" w:color="auto" w:fill="auto"/>
            <w:vAlign w:val="center"/>
          </w:tcPr>
          <w:p>
            <w:pPr>
              <w:keepNext w:val="0"/>
              <w:keepLines w:val="0"/>
              <w:widowControl/>
              <w:suppressLineNumbers w:val="0"/>
              <w:jc w:val="center"/>
              <w:rPr>
                <w:rFonts w:hint="default" w:ascii="Times New Roman" w:hAnsi="Times New Roman" w:cs="Times New Roman"/>
                <w:color w:val="000000"/>
                <w:kern w:val="0"/>
                <w:sz w:val="18"/>
                <w:szCs w:val="18"/>
                <w:highlight w:val="none"/>
                <w:vertAlign w:val="baseline"/>
                <w:lang w:val="en-US" w:eastAsia="zh-CN" w:bidi="ar"/>
              </w:rPr>
            </w:pPr>
            <w:r>
              <w:rPr>
                <w:rFonts w:hint="default" w:ascii="Times New Roman" w:hAnsi="Times New Roman" w:cs="Times New Roman"/>
                <w:color w:val="000000"/>
                <w:kern w:val="0"/>
                <w:sz w:val="18"/>
                <w:szCs w:val="18"/>
                <w:highlight w:val="none"/>
                <w:vertAlign w:val="baseline"/>
                <w:lang w:val="en-US" w:eastAsia="zh-CN" w:bidi="ar"/>
              </w:rPr>
              <w:t>每3个月</w:t>
            </w:r>
          </w:p>
        </w:tc>
      </w:tr>
    </w:tbl>
    <w:p>
      <w:pPr>
        <w:pStyle w:val="166"/>
        <w:numPr>
          <w:ilvl w:val="3"/>
          <w:numId w:val="0"/>
        </w:numPr>
        <w:ind w:leftChars="0"/>
        <w:rPr>
          <w:rFonts w:hint="default" w:ascii="Times New Roman" w:hAnsi="Times New Roman" w:eastAsia="宋体" w:cs="Times New Roman"/>
          <w:color w:val="auto"/>
          <w:sz w:val="18"/>
          <w:szCs w:val="18"/>
          <w:highlight w:val="none"/>
          <w:lang w:val="en-US" w:eastAsia="zh-CN"/>
        </w:rPr>
      </w:pPr>
    </w:p>
    <w:bookmarkEnd w:id="86"/>
    <w:bookmarkEnd w:id="87"/>
    <w:bookmarkEnd w:id="88"/>
    <w:p>
      <w:pPr>
        <w:pStyle w:val="105"/>
        <w:spacing w:before="240" w:after="240"/>
        <w:rPr>
          <w:rFonts w:hint="default" w:ascii="Times New Roman" w:hAnsi="Times New Roman" w:cs="Times New Roman"/>
          <w:color w:val="auto"/>
          <w:highlight w:val="none"/>
        </w:rPr>
      </w:pPr>
      <w:bookmarkStart w:id="90" w:name="_Toc8681"/>
      <w:r>
        <w:rPr>
          <w:rFonts w:hint="default" w:ascii="Times New Roman" w:hAnsi="Times New Roman" w:cs="Times New Roman"/>
          <w:color w:val="auto"/>
          <w:highlight w:val="none"/>
          <w:lang w:val="en-US" w:eastAsia="zh-CN"/>
        </w:rPr>
        <w:t>运行中危害的预防</w:t>
      </w:r>
      <w:bookmarkEnd w:id="90"/>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氢危害预防</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燃料电池系统和车载供氢系统不可在封闭或不通风的环境下运行，应按照GB/T 24549规定和 制造商要求进行操作及处理。</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车载供氢系统应符合GB/T 26990要求，具有过压保护、低压保护、过流保护、过温保护、氢气泄漏等监测、报警、处理和预防等功能。</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车辆与氢浓度探测器联动的安全措施应符合GB/T 24549、GB/T 26990要求。在可能发生氢气泄漏和积聚的部位，都应合理地安装氢气浓度探测器。当泄漏发生时，探测器应能及时报警，并采取相应的安全措施，如切断气源、电源等。</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在车辆常规操作过程中，</w:t>
      </w:r>
      <w:r>
        <w:rPr>
          <w:rFonts w:hint="default" w:ascii="Times New Roman" w:hAnsi="Times New Roman" w:cs="Times New Roman"/>
          <w:color w:val="auto"/>
          <w:szCs w:val="22"/>
          <w:highlight w:val="none"/>
          <w:lang w:val="en-US" w:eastAsia="zh-CN"/>
        </w:rPr>
        <w:t>整车氢气泄露应符合</w:t>
      </w:r>
      <w:r>
        <w:rPr>
          <w:rFonts w:hint="default" w:ascii="Times New Roman" w:hAnsi="Times New Roman" w:eastAsia="宋体" w:cs="Times New Roman"/>
          <w:color w:val="auto"/>
          <w:szCs w:val="22"/>
          <w:highlight w:val="none"/>
          <w:lang w:val="en-US" w:eastAsia="zh-CN"/>
        </w:rPr>
        <w:t>GB/T 24549</w:t>
      </w:r>
      <w:r>
        <w:rPr>
          <w:rFonts w:hint="default" w:ascii="Times New Roman" w:hAnsi="Times New Roman" w:cs="Times New Roman"/>
          <w:color w:val="auto"/>
          <w:szCs w:val="22"/>
          <w:highlight w:val="none"/>
          <w:lang w:val="en-US" w:eastAsia="zh-CN"/>
        </w:rPr>
        <w:t>中4.1.2</w:t>
      </w:r>
      <w:r>
        <w:rPr>
          <w:rFonts w:hint="default" w:ascii="Times New Roman" w:hAnsi="Times New Roman" w:eastAsia="宋体" w:cs="Times New Roman"/>
          <w:color w:val="auto"/>
          <w:szCs w:val="22"/>
          <w:highlight w:val="none"/>
          <w:lang w:val="en-US" w:eastAsia="zh-CN"/>
        </w:rPr>
        <w:t>要求。</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对车载供氢系统进行氢气排空或置换操作时，应选择空旷位置并远离火源、电源的地方进行， 保持空气流通，防止氢气积聚，对车载供氢系统进行作业时应采取防静电措施。雷雨天气不得操作。</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气瓶使用应符合车用气瓶安全技术监察规程要求。</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触电伤害预防</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燃料电池系统</w:t>
      </w:r>
      <w:r>
        <w:rPr>
          <w:rFonts w:hint="default" w:ascii="Times New Roman" w:hAnsi="Times New Roman" w:cs="Times New Roman"/>
          <w:color w:val="auto"/>
          <w:szCs w:val="22"/>
          <w:highlight w:val="none"/>
          <w:lang w:val="en-US" w:eastAsia="zh-CN"/>
        </w:rPr>
        <w:t>电</w:t>
      </w:r>
      <w:r>
        <w:rPr>
          <w:rFonts w:hint="default" w:ascii="Times New Roman" w:hAnsi="Times New Roman" w:eastAsia="宋体" w:cs="Times New Roman"/>
          <w:color w:val="auto"/>
          <w:szCs w:val="22"/>
          <w:highlight w:val="none"/>
          <w:lang w:val="en-US" w:eastAsia="zh-CN"/>
        </w:rPr>
        <w:t xml:space="preserve">安全应符合GB </w:t>
      </w:r>
      <w:r>
        <w:rPr>
          <w:rFonts w:hint="default" w:ascii="Times New Roman" w:hAnsi="Times New Roman" w:cs="Times New Roman"/>
          <w:color w:val="auto"/>
          <w:szCs w:val="22"/>
          <w:highlight w:val="none"/>
          <w:lang w:val="en-US" w:eastAsia="zh-CN"/>
        </w:rPr>
        <w:t>18384</w:t>
      </w:r>
      <w:r>
        <w:rPr>
          <w:rFonts w:hint="default" w:ascii="Times New Roman" w:hAnsi="Times New Roman" w:eastAsia="宋体" w:cs="Times New Roman"/>
          <w:color w:val="auto"/>
          <w:szCs w:val="22"/>
          <w:highlight w:val="none"/>
          <w:lang w:val="en-US" w:eastAsia="zh-CN"/>
        </w:rPr>
        <w:t xml:space="preserve">要求。 </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燃料电池系统拆装时，应</w:t>
      </w:r>
      <w:r>
        <w:rPr>
          <w:rFonts w:hint="default" w:ascii="Times New Roman" w:hAnsi="Times New Roman" w:cs="Times New Roman"/>
          <w:color w:val="auto"/>
          <w:szCs w:val="22"/>
          <w:highlight w:val="none"/>
          <w:lang w:val="en-US" w:eastAsia="zh-CN"/>
        </w:rPr>
        <w:t>根据厂商要求对燃料电池系统进行放电操作至安全电压，并</w:t>
      </w:r>
      <w:r>
        <w:rPr>
          <w:rFonts w:hint="default" w:ascii="Times New Roman" w:hAnsi="Times New Roman" w:eastAsia="宋体" w:cs="Times New Roman"/>
          <w:color w:val="auto"/>
          <w:szCs w:val="22"/>
          <w:highlight w:val="none"/>
          <w:lang w:val="en-US" w:eastAsia="zh-CN"/>
        </w:rPr>
        <w:t xml:space="preserve">确认其处于断电状态，再进行操作。操作人员须穿戴绝缘防护装备（如绝缘鞋、绝缘手套等），不得佩戴可能造成短路的物品并于操作前消除静电。 </w:t>
      </w:r>
    </w:p>
    <w:p>
      <w:pPr>
        <w:pStyle w:val="166"/>
        <w:ind w:left="0"/>
        <w:rPr>
          <w:rFonts w:hint="default" w:ascii="Times New Roman" w:hAnsi="Times New Roman" w:cs="Times New Roman"/>
          <w:color w:val="auto"/>
          <w:highlight w:val="none"/>
        </w:rPr>
      </w:pPr>
      <w:r>
        <w:rPr>
          <w:rFonts w:hint="default" w:ascii="Times New Roman" w:hAnsi="Times New Roman" w:eastAsia="宋体" w:cs="Times New Roman"/>
          <w:color w:val="auto"/>
          <w:szCs w:val="22"/>
          <w:highlight w:val="none"/>
          <w:lang w:val="en-US" w:eastAsia="zh-CN"/>
        </w:rPr>
        <w:t>在车辆维修、氢燃料加注等操作时应切断整车电源。</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高温和化学伤害预防</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燃料电池系统高温区域应具有明显标识。</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在燃料电池系统工作或短时间停机时，应避免接触燃料电池系统</w:t>
      </w:r>
      <w:r>
        <w:rPr>
          <w:rFonts w:hint="default" w:ascii="Times New Roman" w:hAnsi="Times New Roman" w:cs="Times New Roman"/>
          <w:color w:val="auto"/>
          <w:szCs w:val="22"/>
          <w:highlight w:val="none"/>
          <w:lang w:val="en-US" w:eastAsia="zh-CN"/>
        </w:rPr>
        <w:t>高温区域</w:t>
      </w:r>
      <w:r>
        <w:rPr>
          <w:rFonts w:hint="default" w:ascii="Times New Roman" w:hAnsi="Times New Roman" w:eastAsia="宋体" w:cs="Times New Roman"/>
          <w:color w:val="auto"/>
          <w:szCs w:val="22"/>
          <w:highlight w:val="none"/>
          <w:lang w:val="en-US" w:eastAsia="zh-CN"/>
        </w:rPr>
        <w:t xml:space="preserve">，防止烫伤。 </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 xml:space="preserve">应严格使用规定的冷却液并按环保规定进行回收和无害化处理，操作人员对其进行操作时应穿 戴防护器具。 </w:t>
      </w:r>
      <w:bookmarkEnd w:id="13"/>
      <w:bookmarkStart w:id="91" w:name="_Toc111031905"/>
      <w:bookmarkStart w:id="92" w:name="BookMark6"/>
    </w:p>
    <w:p>
      <w:pPr>
        <w:pStyle w:val="105"/>
        <w:spacing w:before="240" w:after="240"/>
        <w:rPr>
          <w:rFonts w:hint="default" w:ascii="Times New Roman" w:hAnsi="Times New Roman" w:cs="Times New Roman"/>
          <w:color w:val="auto"/>
          <w:highlight w:val="none"/>
        </w:rPr>
      </w:pPr>
      <w:bookmarkStart w:id="93" w:name="_Toc9679"/>
      <w:r>
        <w:rPr>
          <w:rFonts w:hint="default" w:ascii="Times New Roman" w:hAnsi="Times New Roman" w:cs="Times New Roman"/>
          <w:color w:val="auto"/>
          <w:highlight w:val="none"/>
        </w:rPr>
        <w:t>应急预案与演练、培训</w:t>
      </w:r>
      <w:bookmarkEnd w:id="93"/>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 xml:space="preserve">应急预案及演练 </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运行单位</w:t>
      </w:r>
      <w:r>
        <w:rPr>
          <w:rFonts w:hint="default" w:ascii="Times New Roman" w:hAnsi="Times New Roman" w:cs="Times New Roman"/>
          <w:color w:val="auto"/>
          <w:sz w:val="21"/>
          <w:szCs w:val="22"/>
          <w:highlight w:val="none"/>
          <w:lang w:val="en-US" w:eastAsia="zh-CN" w:bidi="ar-SA"/>
        </w:rPr>
        <w:t>或个人</w:t>
      </w:r>
      <w:r>
        <w:rPr>
          <w:rFonts w:hint="default" w:ascii="Times New Roman" w:hAnsi="Times New Roman" w:eastAsia="宋体" w:cs="Times New Roman"/>
          <w:color w:val="auto"/>
          <w:sz w:val="21"/>
          <w:szCs w:val="22"/>
          <w:highlight w:val="none"/>
          <w:lang w:val="en-US" w:eastAsia="zh-CN" w:bidi="ar-SA"/>
        </w:rPr>
        <w:t xml:space="preserve">应制定应急预案，包括但不限于以下内容： </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 xml:space="preserve">a) 车辆氢燃料泄漏专项应急预案； </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b) 车辆火灾</w:t>
      </w:r>
      <w:r>
        <w:rPr>
          <w:rFonts w:hint="default" w:ascii="Times New Roman" w:hAnsi="Times New Roman" w:cs="Times New Roman"/>
          <w:color w:val="auto"/>
          <w:sz w:val="21"/>
          <w:szCs w:val="22"/>
          <w:highlight w:val="none"/>
          <w:lang w:val="en-US" w:eastAsia="zh-CN" w:bidi="ar-SA"/>
        </w:rPr>
        <w:t>、碰撞、</w:t>
      </w:r>
      <w:r>
        <w:rPr>
          <w:rFonts w:hint="default" w:ascii="Times New Roman" w:hAnsi="Times New Roman" w:eastAsia="宋体" w:cs="Times New Roman"/>
          <w:color w:val="auto"/>
          <w:sz w:val="21"/>
          <w:szCs w:val="22"/>
          <w:highlight w:val="none"/>
          <w:lang w:val="en-US" w:eastAsia="zh-CN" w:bidi="ar-SA"/>
        </w:rPr>
        <w:t>人员伤亡</w:t>
      </w:r>
      <w:r>
        <w:rPr>
          <w:rFonts w:hint="default" w:ascii="Times New Roman" w:hAnsi="Times New Roman" w:cs="Times New Roman"/>
          <w:color w:val="auto"/>
          <w:sz w:val="21"/>
          <w:szCs w:val="22"/>
          <w:highlight w:val="none"/>
          <w:lang w:val="en-US" w:eastAsia="zh-CN" w:bidi="ar-SA"/>
        </w:rPr>
        <w:t>等</w:t>
      </w:r>
      <w:r>
        <w:rPr>
          <w:rFonts w:hint="default" w:ascii="Times New Roman" w:hAnsi="Times New Roman" w:eastAsia="宋体" w:cs="Times New Roman"/>
          <w:color w:val="auto"/>
          <w:sz w:val="21"/>
          <w:szCs w:val="22"/>
          <w:highlight w:val="none"/>
          <w:lang w:val="en-US" w:eastAsia="zh-CN" w:bidi="ar-SA"/>
        </w:rPr>
        <w:t xml:space="preserve">事故专项应急预案； </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c) 车辆</w:t>
      </w:r>
      <w:r>
        <w:rPr>
          <w:rFonts w:hint="default" w:ascii="Times New Roman" w:hAnsi="Times New Roman" w:cs="Times New Roman"/>
          <w:color w:val="auto"/>
          <w:sz w:val="21"/>
          <w:szCs w:val="22"/>
          <w:highlight w:val="none"/>
          <w:lang w:val="en-US" w:eastAsia="zh-CN" w:bidi="ar-SA"/>
        </w:rPr>
        <w:t>电气、机械等</w:t>
      </w:r>
      <w:r>
        <w:rPr>
          <w:rFonts w:hint="default" w:ascii="Times New Roman" w:hAnsi="Times New Roman" w:eastAsia="宋体" w:cs="Times New Roman"/>
          <w:color w:val="auto"/>
          <w:sz w:val="21"/>
          <w:szCs w:val="22"/>
          <w:highlight w:val="none"/>
          <w:lang w:val="en-US" w:eastAsia="zh-CN" w:bidi="ar-SA"/>
        </w:rPr>
        <w:t>故障专项应急预案</w:t>
      </w:r>
      <w:r>
        <w:rPr>
          <w:rFonts w:hint="default" w:ascii="Times New Roman" w:hAnsi="Times New Roman" w:cs="Times New Roman"/>
          <w:color w:val="auto"/>
          <w:sz w:val="21"/>
          <w:szCs w:val="22"/>
          <w:highlight w:val="none"/>
          <w:lang w:val="en-US" w:eastAsia="zh-CN" w:bidi="ar-SA"/>
        </w:rPr>
        <w:t>。</w:t>
      </w:r>
      <w:r>
        <w:rPr>
          <w:rFonts w:hint="default" w:ascii="Times New Roman" w:hAnsi="Times New Roman" w:eastAsia="宋体" w:cs="Times New Roman"/>
          <w:color w:val="auto"/>
          <w:sz w:val="21"/>
          <w:szCs w:val="22"/>
          <w:highlight w:val="none"/>
          <w:lang w:val="en-US" w:eastAsia="zh-CN" w:bidi="ar-SA"/>
        </w:rPr>
        <w:t xml:space="preserve">  </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 xml:space="preserve">培训 </w:t>
      </w:r>
    </w:p>
    <w:p>
      <w:pPr>
        <w:pStyle w:val="231"/>
        <w:rPr>
          <w:rFonts w:hint="default" w:ascii="Times New Roman" w:hAnsi="Times New Roman" w:cs="Times New Roman"/>
          <w:color w:val="auto"/>
          <w:highlight w:val="none"/>
        </w:rPr>
      </w:pPr>
      <w:r>
        <w:rPr>
          <w:rFonts w:hint="default" w:ascii="Times New Roman" w:hAnsi="Times New Roman" w:eastAsia="宋体" w:cs="Times New Roman"/>
          <w:color w:val="auto"/>
          <w:sz w:val="21"/>
          <w:szCs w:val="22"/>
          <w:highlight w:val="none"/>
          <w:lang w:val="en-US" w:eastAsia="zh-CN" w:bidi="ar-SA"/>
        </w:rPr>
        <w:t>运行单位</w:t>
      </w:r>
      <w:r>
        <w:rPr>
          <w:rFonts w:hint="default" w:ascii="Times New Roman" w:hAnsi="Times New Roman" w:cs="Times New Roman"/>
          <w:color w:val="auto"/>
          <w:sz w:val="21"/>
          <w:szCs w:val="22"/>
          <w:highlight w:val="none"/>
          <w:lang w:val="en-US" w:eastAsia="zh-CN" w:bidi="ar-SA"/>
        </w:rPr>
        <w:t>或个人</w:t>
      </w:r>
      <w:r>
        <w:rPr>
          <w:rFonts w:hint="default" w:ascii="Times New Roman" w:hAnsi="Times New Roman" w:eastAsia="宋体" w:cs="Times New Roman"/>
          <w:color w:val="auto"/>
          <w:sz w:val="21"/>
          <w:szCs w:val="22"/>
          <w:highlight w:val="none"/>
          <w:lang w:val="en-US" w:eastAsia="zh-CN" w:bidi="ar-SA"/>
        </w:rPr>
        <w:t>应</w:t>
      </w:r>
      <w:r>
        <w:rPr>
          <w:rFonts w:hint="default" w:ascii="Times New Roman" w:hAnsi="Times New Roman" w:cs="Times New Roman"/>
          <w:color w:val="auto"/>
          <w:sz w:val="21"/>
          <w:szCs w:val="22"/>
          <w:highlight w:val="none"/>
          <w:lang w:val="en-US" w:eastAsia="zh-CN" w:bidi="ar-SA"/>
        </w:rPr>
        <w:t>进行</w:t>
      </w:r>
      <w:r>
        <w:rPr>
          <w:rFonts w:hint="eastAsia" w:ascii="Times New Roman" w:cs="Times New Roman"/>
          <w:color w:val="auto"/>
          <w:sz w:val="21"/>
          <w:szCs w:val="22"/>
          <w:highlight w:val="none"/>
          <w:lang w:val="en-US" w:eastAsia="zh-CN" w:bidi="ar-SA"/>
        </w:rPr>
        <w:t>每年至少1次的</w:t>
      </w:r>
      <w:r>
        <w:rPr>
          <w:rFonts w:hint="default" w:ascii="Times New Roman" w:hAnsi="Times New Roman" w:eastAsia="宋体" w:cs="Times New Roman"/>
          <w:color w:val="auto"/>
          <w:sz w:val="21"/>
          <w:szCs w:val="22"/>
          <w:highlight w:val="none"/>
          <w:lang w:val="en-US" w:eastAsia="zh-CN" w:bidi="ar-SA"/>
        </w:rPr>
        <w:t>应急预案演练，并进行应急知识</w:t>
      </w:r>
      <w:r>
        <w:rPr>
          <w:rFonts w:hint="default" w:ascii="Times New Roman" w:hAnsi="Times New Roman" w:cs="Times New Roman"/>
          <w:color w:val="auto"/>
          <w:sz w:val="21"/>
          <w:szCs w:val="22"/>
          <w:highlight w:val="none"/>
          <w:lang w:val="en-US" w:eastAsia="zh-CN" w:bidi="ar-SA"/>
        </w:rPr>
        <w:t>学习</w:t>
      </w:r>
      <w:r>
        <w:rPr>
          <w:rFonts w:hint="default" w:ascii="Times New Roman" w:hAnsi="Times New Roman" w:eastAsia="宋体" w:cs="Times New Roman"/>
          <w:color w:val="auto"/>
          <w:sz w:val="21"/>
          <w:szCs w:val="22"/>
          <w:highlight w:val="none"/>
          <w:lang w:val="en-US" w:eastAsia="zh-CN" w:bidi="ar-SA"/>
        </w:rPr>
        <w:t>。</w:t>
      </w:r>
    </w:p>
    <w:p>
      <w:pPr>
        <w:pStyle w:val="106"/>
        <w:spacing w:before="120" w:after="120"/>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cs="Times New Roman"/>
          <w:color w:val="auto"/>
          <w:szCs w:val="22"/>
          <w:highlight w:val="none"/>
          <w:lang w:val="en-US" w:eastAsia="zh-CN"/>
        </w:rPr>
        <w:t>事故处置</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车辆发生</w:t>
      </w:r>
      <w:r>
        <w:rPr>
          <w:rFonts w:hint="default" w:ascii="Times New Roman" w:hAnsi="Times New Roman" w:cs="Times New Roman"/>
          <w:color w:val="auto"/>
          <w:sz w:val="21"/>
          <w:szCs w:val="22"/>
          <w:highlight w:val="none"/>
          <w:lang w:val="en-US" w:eastAsia="zh-CN" w:bidi="ar-SA"/>
        </w:rPr>
        <w:t>事故</w:t>
      </w:r>
      <w:r>
        <w:rPr>
          <w:rFonts w:hint="default" w:ascii="Times New Roman" w:hAnsi="Times New Roman" w:eastAsia="宋体" w:cs="Times New Roman"/>
          <w:color w:val="auto"/>
          <w:sz w:val="21"/>
          <w:szCs w:val="22"/>
          <w:highlight w:val="none"/>
          <w:lang w:val="en-US" w:eastAsia="zh-CN" w:bidi="ar-SA"/>
        </w:rPr>
        <w:t xml:space="preserve">时，应按以下方式进行处置： </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 xml:space="preserve">a) 在确保安全的前提下，应将车辆移至就近安全地带； </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b) 应</w:t>
      </w:r>
      <w:r>
        <w:rPr>
          <w:rFonts w:hint="default" w:ascii="Times New Roman" w:hAnsi="Times New Roman" w:cs="Times New Roman"/>
          <w:color w:val="auto"/>
          <w:sz w:val="21"/>
          <w:szCs w:val="22"/>
          <w:highlight w:val="none"/>
          <w:lang w:val="en-US" w:eastAsia="zh-CN" w:bidi="ar-SA"/>
        </w:rPr>
        <w:t>关闭燃料电池系统及整车电源，</w:t>
      </w:r>
      <w:r>
        <w:rPr>
          <w:rFonts w:hint="default" w:ascii="Times New Roman" w:hAnsi="Times New Roman" w:eastAsia="宋体" w:cs="Times New Roman"/>
          <w:color w:val="auto"/>
          <w:sz w:val="21"/>
          <w:szCs w:val="22"/>
          <w:highlight w:val="none"/>
          <w:lang w:val="en-US" w:eastAsia="zh-CN" w:bidi="ar-SA"/>
        </w:rPr>
        <w:t>切断车载供氢系统主关断阀；</w:t>
      </w:r>
    </w:p>
    <w:p>
      <w:pPr>
        <w:pStyle w:val="231"/>
        <w:rPr>
          <w:rFonts w:hint="default" w:ascii="Times New Roman" w:hAnsi="Times New Roman" w:eastAsia="宋体" w:cs="Times New Roman"/>
          <w:color w:val="auto"/>
          <w:sz w:val="21"/>
          <w:szCs w:val="22"/>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 xml:space="preserve">c) </w:t>
      </w:r>
      <w:r>
        <w:rPr>
          <w:rFonts w:hint="default" w:ascii="Times New Roman" w:hAnsi="Times New Roman" w:cs="Times New Roman"/>
          <w:color w:val="auto"/>
          <w:sz w:val="21"/>
          <w:szCs w:val="22"/>
          <w:highlight w:val="none"/>
          <w:lang w:val="en-US" w:eastAsia="zh-CN" w:bidi="ar-SA"/>
        </w:rPr>
        <w:t>若发生氢气泄露时，按照GB 4962进行处理</w:t>
      </w:r>
      <w:r>
        <w:rPr>
          <w:rFonts w:hint="default" w:ascii="Times New Roman" w:hAnsi="Times New Roman" w:eastAsia="宋体" w:cs="Times New Roman"/>
          <w:color w:val="auto"/>
          <w:sz w:val="21"/>
          <w:szCs w:val="22"/>
          <w:highlight w:val="none"/>
          <w:lang w:val="en-US" w:eastAsia="zh-CN" w:bidi="ar-SA"/>
        </w:rPr>
        <w:t xml:space="preserve">； </w:t>
      </w:r>
    </w:p>
    <w:p>
      <w:pPr>
        <w:pStyle w:val="231"/>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1"/>
          <w:szCs w:val="22"/>
          <w:highlight w:val="none"/>
          <w:lang w:val="en-US" w:eastAsia="zh-CN" w:bidi="ar-SA"/>
        </w:rPr>
        <w:t>d) 应及时报警，并撤离危险区内人员。</w:t>
      </w:r>
    </w:p>
    <w:p>
      <w:pPr>
        <w:pStyle w:val="105"/>
        <w:spacing w:before="240" w:after="240"/>
        <w:rPr>
          <w:rFonts w:hint="default" w:ascii="Times New Roman" w:hAnsi="Times New Roman" w:cs="Times New Roman"/>
          <w:color w:val="auto"/>
          <w:szCs w:val="22"/>
          <w:highlight w:val="none"/>
          <w:lang w:val="en-US" w:eastAsia="zh-CN"/>
        </w:rPr>
      </w:pPr>
      <w:bookmarkStart w:id="94" w:name="_Toc10970"/>
      <w:r>
        <w:rPr>
          <w:rFonts w:hint="default" w:ascii="Times New Roman" w:hAnsi="Times New Roman" w:cs="Times New Roman"/>
          <w:color w:val="auto"/>
          <w:szCs w:val="22"/>
          <w:highlight w:val="none"/>
          <w:lang w:val="en-US" w:eastAsia="zh-CN"/>
        </w:rPr>
        <w:t>维修场地要求</w:t>
      </w:r>
      <w:bookmarkEnd w:id="94"/>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安全基本要求</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维修场地必须符合安全规定并满足燃料电池系统所需的安全要求。</w:t>
      </w:r>
      <w:r>
        <w:rPr>
          <w:rFonts w:hint="default" w:ascii="Times New Roman" w:hAnsi="Times New Roman" w:cs="Times New Roman"/>
          <w:color w:val="auto"/>
          <w:szCs w:val="22"/>
          <w:highlight w:val="none"/>
          <w:lang w:val="en-US" w:eastAsia="zh-CN"/>
        </w:rPr>
        <w:t>涉氢作业区域</w:t>
      </w:r>
      <w:r>
        <w:rPr>
          <w:rFonts w:hint="default" w:ascii="Times New Roman" w:hAnsi="Times New Roman" w:eastAsia="宋体" w:cs="Times New Roman"/>
          <w:color w:val="auto"/>
          <w:szCs w:val="22"/>
          <w:highlight w:val="none"/>
          <w:lang w:val="en-US" w:eastAsia="zh-CN"/>
        </w:rPr>
        <w:t>与一般维护场地应设置防火墙，且具备防爆功能。防火墙</w:t>
      </w:r>
      <w:r>
        <w:rPr>
          <w:rFonts w:hint="default" w:ascii="Times New Roman" w:hAnsi="Times New Roman" w:cs="Times New Roman"/>
          <w:color w:val="auto"/>
          <w:szCs w:val="22"/>
          <w:highlight w:val="none"/>
          <w:lang w:val="en-US" w:eastAsia="zh-CN"/>
        </w:rPr>
        <w:t>及防爆设施</w:t>
      </w:r>
      <w:r>
        <w:rPr>
          <w:rFonts w:hint="default" w:ascii="Times New Roman" w:hAnsi="Times New Roman" w:eastAsia="宋体" w:cs="Times New Roman"/>
          <w:color w:val="auto"/>
          <w:szCs w:val="22"/>
          <w:highlight w:val="none"/>
          <w:lang w:val="en-US" w:eastAsia="zh-CN"/>
        </w:rPr>
        <w:t>等要满足当地管理部门要求。</w:t>
      </w:r>
      <w:r>
        <w:rPr>
          <w:rFonts w:hint="default" w:ascii="Times New Roman" w:hAnsi="Times New Roman" w:cs="Times New Roman"/>
          <w:color w:val="auto"/>
          <w:szCs w:val="22"/>
          <w:highlight w:val="none"/>
          <w:lang w:val="en-US" w:eastAsia="zh-CN"/>
        </w:rPr>
        <w:t>涉氢作业区域应在</w:t>
      </w:r>
      <w:r>
        <w:rPr>
          <w:rFonts w:hint="default" w:ascii="Times New Roman" w:hAnsi="Times New Roman" w:eastAsia="宋体" w:cs="Times New Roman"/>
          <w:color w:val="auto"/>
          <w:szCs w:val="22"/>
          <w:highlight w:val="none"/>
          <w:lang w:val="en-US" w:eastAsia="zh-CN"/>
        </w:rPr>
        <w:t>室外开阔场地或有氢气浓度监测且能防止氢气聚集的室内场所</w:t>
      </w:r>
      <w:r>
        <w:rPr>
          <w:rFonts w:hint="default" w:ascii="Times New Roman" w:hAnsi="Times New Roman" w:cs="Times New Roman"/>
          <w:color w:val="auto"/>
          <w:szCs w:val="22"/>
          <w:highlight w:val="none"/>
          <w:lang w:val="en-US" w:eastAsia="zh-CN"/>
        </w:rPr>
        <w:t>。</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维修</w:t>
      </w:r>
      <w:r>
        <w:rPr>
          <w:rFonts w:hint="default" w:ascii="Times New Roman" w:hAnsi="Times New Roman" w:cs="Times New Roman"/>
          <w:color w:val="auto"/>
          <w:szCs w:val="22"/>
          <w:highlight w:val="none"/>
          <w:lang w:val="en-US" w:eastAsia="zh-CN"/>
        </w:rPr>
        <w:t>场地</w:t>
      </w:r>
      <w:r>
        <w:rPr>
          <w:rFonts w:hint="default" w:ascii="Times New Roman" w:hAnsi="Times New Roman" w:eastAsia="宋体" w:cs="Times New Roman"/>
          <w:color w:val="auto"/>
          <w:szCs w:val="22"/>
          <w:highlight w:val="none"/>
          <w:lang w:val="en-US" w:eastAsia="zh-CN"/>
        </w:rPr>
        <w:t>的位置应避免对周边居民生活和环境产生不利影响，噪声排放应符合GB 12348中的相关规定。</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维修</w:t>
      </w:r>
      <w:r>
        <w:rPr>
          <w:rFonts w:hint="default" w:ascii="Times New Roman" w:hAnsi="Times New Roman" w:cs="Times New Roman"/>
          <w:color w:val="auto"/>
          <w:szCs w:val="22"/>
          <w:highlight w:val="none"/>
          <w:lang w:val="en-US" w:eastAsia="zh-CN"/>
        </w:rPr>
        <w:t>场地</w:t>
      </w:r>
      <w:r>
        <w:rPr>
          <w:rFonts w:hint="default" w:ascii="Times New Roman" w:hAnsi="Times New Roman" w:eastAsia="宋体" w:cs="Times New Roman"/>
          <w:color w:val="auto"/>
          <w:szCs w:val="22"/>
          <w:highlight w:val="none"/>
          <w:lang w:val="en-US" w:eastAsia="zh-CN"/>
        </w:rPr>
        <w:t>应设置氢</w:t>
      </w:r>
      <w:r>
        <w:rPr>
          <w:rFonts w:hint="default" w:ascii="Times New Roman" w:hAnsi="Times New Roman" w:cs="Times New Roman"/>
          <w:color w:val="auto"/>
          <w:szCs w:val="22"/>
          <w:highlight w:val="none"/>
          <w:lang w:val="en-US" w:eastAsia="zh-CN"/>
        </w:rPr>
        <w:t>气</w:t>
      </w:r>
      <w:r>
        <w:rPr>
          <w:rFonts w:hint="default" w:ascii="Times New Roman" w:hAnsi="Times New Roman" w:eastAsia="宋体" w:cs="Times New Roman"/>
          <w:color w:val="auto"/>
          <w:szCs w:val="22"/>
          <w:highlight w:val="none"/>
          <w:lang w:val="en-US" w:eastAsia="zh-CN"/>
        </w:rPr>
        <w:t>安全警示标识，入口处应设置人体除静电装置。</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维修</w:t>
      </w:r>
      <w:r>
        <w:rPr>
          <w:rFonts w:hint="default" w:ascii="Times New Roman" w:hAnsi="Times New Roman" w:cs="Times New Roman"/>
          <w:color w:val="auto"/>
          <w:szCs w:val="22"/>
          <w:highlight w:val="none"/>
          <w:lang w:val="en-US" w:eastAsia="zh-CN"/>
        </w:rPr>
        <w:t>场地</w:t>
      </w:r>
      <w:r>
        <w:rPr>
          <w:rFonts w:hint="default" w:ascii="Times New Roman" w:hAnsi="Times New Roman" w:eastAsia="宋体" w:cs="Times New Roman"/>
          <w:color w:val="auto"/>
          <w:szCs w:val="22"/>
          <w:highlight w:val="none"/>
          <w:lang w:val="en-US" w:eastAsia="zh-CN"/>
        </w:rPr>
        <w:t>应设有照明系统和联动通风装置</w:t>
      </w:r>
      <w:r>
        <w:rPr>
          <w:rFonts w:hint="default" w:ascii="Times New Roman" w:hAnsi="Times New Roman" w:cs="Times New Roman"/>
          <w:color w:val="auto"/>
          <w:szCs w:val="22"/>
          <w:highlight w:val="none"/>
          <w:lang w:val="en-US" w:eastAsia="zh-CN"/>
        </w:rPr>
        <w:t>，并</w:t>
      </w:r>
      <w:r>
        <w:rPr>
          <w:rFonts w:hint="default" w:ascii="Times New Roman" w:hAnsi="Times New Roman" w:eastAsia="宋体" w:cs="Times New Roman"/>
          <w:color w:val="auto"/>
          <w:szCs w:val="22"/>
          <w:highlight w:val="none"/>
          <w:lang w:val="en-US" w:eastAsia="zh-CN"/>
        </w:rPr>
        <w:t>远离火源</w:t>
      </w:r>
      <w:r>
        <w:rPr>
          <w:rFonts w:hint="default" w:ascii="Times New Roman" w:hAnsi="Times New Roman" w:cs="Times New Roman"/>
          <w:color w:val="auto"/>
          <w:szCs w:val="22"/>
          <w:highlight w:val="none"/>
          <w:lang w:val="en-US" w:eastAsia="zh-CN"/>
        </w:rPr>
        <w:t>。</w:t>
      </w:r>
      <w:r>
        <w:rPr>
          <w:rFonts w:hint="default" w:ascii="Times New Roman" w:hAnsi="Times New Roman" w:eastAsia="宋体" w:cs="Times New Roman"/>
          <w:color w:val="auto"/>
          <w:szCs w:val="22"/>
          <w:highlight w:val="none"/>
          <w:lang w:val="en-US" w:eastAsia="zh-CN"/>
        </w:rPr>
        <w:t>作业区域（包括氢燃料电池车内）禁止吸烟。</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维修作业场所应配置随时可用的功能良好的二氧化碳灭火器或水基型灭火器。</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设备条件</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应配备相应的仪表工具，专用设备，其规格和数量应</w:t>
      </w:r>
      <w:r>
        <w:rPr>
          <w:rFonts w:hint="default" w:ascii="Times New Roman" w:hAnsi="Times New Roman" w:cs="Times New Roman"/>
          <w:color w:val="auto"/>
          <w:szCs w:val="22"/>
          <w:highlight w:val="none"/>
          <w:lang w:val="en-US" w:eastAsia="zh-CN"/>
        </w:rPr>
        <w:t>满足</w:t>
      </w:r>
      <w:r>
        <w:rPr>
          <w:rFonts w:hint="default" w:ascii="Times New Roman" w:hAnsi="Times New Roman" w:eastAsia="宋体" w:cs="Times New Roman"/>
          <w:color w:val="auto"/>
          <w:szCs w:val="22"/>
          <w:highlight w:val="none"/>
          <w:lang w:val="en-US" w:eastAsia="zh-CN"/>
        </w:rPr>
        <w:t>车辆</w:t>
      </w:r>
      <w:r>
        <w:rPr>
          <w:rFonts w:hint="default" w:ascii="Times New Roman" w:hAnsi="Times New Roman" w:cs="Times New Roman"/>
          <w:color w:val="auto"/>
          <w:szCs w:val="22"/>
          <w:highlight w:val="none"/>
          <w:lang w:val="en-US" w:eastAsia="zh-CN"/>
        </w:rPr>
        <w:t>维修</w:t>
      </w:r>
      <w:r>
        <w:rPr>
          <w:rFonts w:hint="default" w:ascii="Times New Roman" w:hAnsi="Times New Roman" w:eastAsia="宋体" w:cs="Times New Roman"/>
          <w:color w:val="auto"/>
          <w:szCs w:val="22"/>
          <w:highlight w:val="none"/>
          <w:lang w:val="en-US" w:eastAsia="zh-CN"/>
        </w:rPr>
        <w:t>工艺，性能符合维修要求。</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从事燃料电池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商用车的维修应配备相应的绝缘</w:t>
      </w:r>
      <w:r>
        <w:rPr>
          <w:rFonts w:hint="default" w:ascii="Times New Roman" w:hAnsi="Times New Roman" w:cs="Times New Roman"/>
          <w:color w:val="auto"/>
          <w:szCs w:val="22"/>
          <w:highlight w:val="none"/>
          <w:lang w:val="en-US" w:eastAsia="zh-CN"/>
        </w:rPr>
        <w:t>检测</w:t>
      </w:r>
      <w:r>
        <w:rPr>
          <w:rFonts w:hint="default" w:ascii="Times New Roman" w:hAnsi="Times New Roman" w:eastAsia="宋体" w:cs="Times New Roman"/>
          <w:color w:val="auto"/>
          <w:szCs w:val="22"/>
          <w:highlight w:val="none"/>
          <w:lang w:val="en-US" w:eastAsia="zh-CN"/>
        </w:rPr>
        <w:t>工具</w:t>
      </w:r>
      <w:r>
        <w:rPr>
          <w:rFonts w:hint="default" w:ascii="Times New Roman" w:hAnsi="Times New Roman" w:cs="Times New Roman"/>
          <w:color w:val="auto"/>
          <w:szCs w:val="22"/>
          <w:highlight w:val="none"/>
          <w:lang w:val="en-US" w:eastAsia="zh-CN"/>
        </w:rPr>
        <w:t>、氢气浓度检测工具及电导率检测工具等</w:t>
      </w:r>
      <w:r>
        <w:rPr>
          <w:rFonts w:hint="default" w:ascii="Times New Roman" w:hAnsi="Times New Roman" w:eastAsia="宋体" w:cs="Times New Roman"/>
          <w:color w:val="auto"/>
          <w:szCs w:val="22"/>
          <w:highlight w:val="none"/>
          <w:lang w:val="en-US" w:eastAsia="zh-CN"/>
        </w:rPr>
        <w:t>。</w:t>
      </w:r>
    </w:p>
    <w:p>
      <w:pPr>
        <w:pStyle w:val="106"/>
        <w:spacing w:before="120" w:after="12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组织管理</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应建立健全组织管理</w:t>
      </w:r>
      <w:r>
        <w:rPr>
          <w:rFonts w:hint="default" w:ascii="Times New Roman" w:hAnsi="Times New Roman" w:cs="Times New Roman"/>
          <w:color w:val="auto"/>
          <w:szCs w:val="22"/>
          <w:highlight w:val="none"/>
          <w:lang w:val="en-US" w:eastAsia="zh-CN"/>
        </w:rPr>
        <w:t>体系</w:t>
      </w:r>
      <w:r>
        <w:rPr>
          <w:rFonts w:hint="default" w:ascii="Times New Roman" w:hAnsi="Times New Roman" w:eastAsia="宋体" w:cs="Times New Roman"/>
          <w:color w:val="auto"/>
          <w:szCs w:val="22"/>
          <w:highlight w:val="none"/>
          <w:lang w:val="en-US" w:eastAsia="zh-CN"/>
        </w:rPr>
        <w:t>，具有规范的维修工作流程，对维修过程、配件等实行</w:t>
      </w:r>
      <w:r>
        <w:rPr>
          <w:rFonts w:hint="default" w:ascii="Times New Roman" w:hAnsi="Times New Roman" w:cs="Times New Roman"/>
          <w:color w:val="auto"/>
          <w:szCs w:val="22"/>
          <w:highlight w:val="none"/>
          <w:lang w:val="en-US" w:eastAsia="zh-CN"/>
        </w:rPr>
        <w:t>管理</w:t>
      </w:r>
      <w:r>
        <w:rPr>
          <w:rFonts w:hint="default" w:ascii="Times New Roman" w:hAnsi="Times New Roman" w:eastAsia="宋体" w:cs="Times New Roman"/>
          <w:color w:val="auto"/>
          <w:szCs w:val="22"/>
          <w:highlight w:val="none"/>
          <w:lang w:val="en-US" w:eastAsia="zh-CN"/>
        </w:rPr>
        <w:t>，形成维修数据记录。</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应建立并实施与其维修作业内容相适应的安全管理制度，并具备相应的安全措施。</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维修保养人员应</w:t>
      </w:r>
      <w:r>
        <w:rPr>
          <w:rFonts w:hint="default" w:ascii="Times New Roman" w:hAnsi="Times New Roman" w:cs="Times New Roman"/>
          <w:color w:val="auto"/>
          <w:szCs w:val="22"/>
          <w:highlight w:val="none"/>
          <w:lang w:val="en-US" w:eastAsia="zh-CN"/>
        </w:rPr>
        <w:t>定期</w:t>
      </w:r>
      <w:r>
        <w:rPr>
          <w:rFonts w:hint="default" w:ascii="Times New Roman" w:hAnsi="Times New Roman" w:eastAsia="宋体" w:cs="Times New Roman"/>
          <w:color w:val="auto"/>
          <w:szCs w:val="22"/>
          <w:highlight w:val="none"/>
          <w:lang w:val="en-US" w:eastAsia="zh-CN"/>
        </w:rPr>
        <w:t>接受氢燃料电池</w:t>
      </w:r>
      <w:r>
        <w:rPr>
          <w:rFonts w:hint="default" w:ascii="Times New Roman" w:hAnsi="Times New Roman" w:eastAsia="黑体" w:cs="Times New Roman"/>
          <w:color w:val="auto"/>
          <w:highlight w:val="none"/>
          <w:lang w:val="en-US" w:eastAsia="zh-CN"/>
        </w:rPr>
        <w:t>电动</w:t>
      </w:r>
      <w:r>
        <w:rPr>
          <w:rFonts w:hint="default" w:ascii="Times New Roman" w:hAnsi="Times New Roman" w:eastAsia="宋体" w:cs="Times New Roman"/>
          <w:color w:val="auto"/>
          <w:szCs w:val="22"/>
          <w:highlight w:val="none"/>
          <w:lang w:val="en-US" w:eastAsia="zh-CN"/>
        </w:rPr>
        <w:t>商用车相关专业技术、安全、实操培训，并经过考核合格上岗</w:t>
      </w:r>
      <w:r>
        <w:rPr>
          <w:rFonts w:hint="default" w:ascii="Times New Roman" w:hAnsi="Times New Roman" w:cs="Times New Roman"/>
          <w:color w:val="auto"/>
          <w:szCs w:val="22"/>
          <w:highlight w:val="none"/>
          <w:lang w:val="en-US" w:eastAsia="zh-CN"/>
        </w:rPr>
        <w:t>。</w:t>
      </w:r>
    </w:p>
    <w:p>
      <w:pPr>
        <w:pStyle w:val="105"/>
        <w:spacing w:before="240" w:after="240"/>
        <w:rPr>
          <w:rFonts w:hint="default" w:ascii="Times New Roman" w:hAnsi="Times New Roman" w:cs="Times New Roman"/>
          <w:color w:val="auto"/>
          <w:szCs w:val="22"/>
          <w:highlight w:val="none"/>
          <w:lang w:val="en-US" w:eastAsia="zh-CN"/>
        </w:rPr>
      </w:pPr>
      <w:bookmarkStart w:id="95" w:name="_Toc21559"/>
      <w:r>
        <w:rPr>
          <w:rFonts w:hint="default" w:ascii="Times New Roman" w:hAnsi="Times New Roman" w:cs="Times New Roman"/>
          <w:color w:val="auto"/>
          <w:szCs w:val="22"/>
          <w:highlight w:val="none"/>
          <w:lang w:val="en-US" w:eastAsia="zh-CN"/>
        </w:rPr>
        <w:t>停车场地要求</w:t>
      </w:r>
      <w:bookmarkEnd w:id="95"/>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停车场应远离热源、可燃设施或可燃物质堆放区域、粉尘较大和有腐蚀性气体的地方。</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 xml:space="preserve">停车场内的车辆停放区域，应配置照明、监控设备和消防设施；如有顶棚或屋顶，应增设气体泄漏报警系统和直接与外部空间连接的通风设施。 </w:t>
      </w:r>
    </w:p>
    <w:p>
      <w:pPr>
        <w:pStyle w:val="105"/>
        <w:spacing w:before="240" w:after="240"/>
        <w:rPr>
          <w:rFonts w:hint="default" w:ascii="Times New Roman" w:hAnsi="Times New Roman" w:cs="Times New Roman"/>
          <w:color w:val="auto"/>
          <w:szCs w:val="22"/>
          <w:highlight w:val="none"/>
          <w:lang w:val="en-US" w:eastAsia="zh-CN"/>
        </w:rPr>
      </w:pPr>
      <w:bookmarkStart w:id="96" w:name="_Toc11921"/>
      <w:r>
        <w:rPr>
          <w:rFonts w:hint="default" w:ascii="Times New Roman" w:hAnsi="Times New Roman" w:cs="Times New Roman"/>
          <w:color w:val="auto"/>
          <w:szCs w:val="22"/>
          <w:highlight w:val="none"/>
          <w:lang w:val="en-US" w:eastAsia="zh-CN"/>
        </w:rPr>
        <w:t>车辆报废</w:t>
      </w:r>
      <w:bookmarkEnd w:id="96"/>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车辆报废前应安全放空各系统零部件及管路内的氢气，并采用氮气进行置换，置换后系统内压力降至大气压，再交给专业机构进行报废处理。</w:t>
      </w:r>
    </w:p>
    <w:p>
      <w:pPr>
        <w:pStyle w:val="166"/>
        <w:ind w:left="0"/>
        <w:rPr>
          <w:rFonts w:hint="default" w:ascii="Times New Roman" w:hAnsi="Times New Roman" w:eastAsia="宋体"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燃料电池系统参照整车说明书联系相应的厂商或指定回收机构进行报废处理。</w:t>
      </w:r>
    </w:p>
    <w:p>
      <w:pPr>
        <w:pStyle w:val="166"/>
        <w:ind w:left="0"/>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szCs w:val="22"/>
          <w:highlight w:val="none"/>
          <w:lang w:val="en-US" w:eastAsia="zh-CN"/>
        </w:rPr>
        <w:t>报废流程应根据国家相关规定进行。</w:t>
      </w:r>
    </w:p>
    <w:p>
      <w:pPr>
        <w:pStyle w:val="57"/>
        <w:ind w:left="0" w:leftChars="0" w:firstLine="0" w:firstLineChars="0"/>
        <w:rPr>
          <w:rFonts w:hint="default" w:ascii="Times New Roman" w:hAnsi="Times New Roman" w:cs="Times New Roman"/>
          <w:highlight w:val="none"/>
        </w:rPr>
      </w:pPr>
    </w:p>
    <w:bookmarkEnd w:id="91"/>
    <w:bookmarkEnd w:id="92"/>
    <w:p>
      <w:pPr>
        <w:pStyle w:val="166"/>
        <w:numPr>
          <w:ilvl w:val="0"/>
          <w:numId w:val="0"/>
        </w:numPr>
        <w:jc w:val="both"/>
        <w:rPr>
          <w:rFonts w:hint="default" w:ascii="Times New Roman" w:hAnsi="Times New Roman" w:cs="Times New Roman"/>
          <w:highlight w:val="none"/>
        </w:rPr>
      </w:pPr>
      <w:bookmarkStart w:id="97" w:name="BookMark8"/>
    </w:p>
    <w:p>
      <w:pPr>
        <w:pStyle w:val="166"/>
        <w:numPr>
          <w:ilvl w:val="0"/>
          <w:numId w:val="0"/>
        </w:numPr>
        <w:jc w:val="center"/>
        <w:rPr>
          <w:rFonts w:hint="default" w:ascii="Times New Roman" w:hAnsi="Times New Roman" w:cs="Times New Roman"/>
          <w:highlight w:val="none"/>
        </w:rPr>
      </w:pPr>
    </w:p>
    <w:p>
      <w:pPr>
        <w:pStyle w:val="166"/>
        <w:numPr>
          <w:ilvl w:val="0"/>
          <w:numId w:val="0"/>
        </w:numPr>
        <w:jc w:val="center"/>
        <w:rPr>
          <w:rFonts w:hint="default" w:ascii="Times New Roman" w:hAnsi="Times New Roman" w:cs="Times New Roman"/>
          <w:highlight w:val="none"/>
        </w:rPr>
      </w:pPr>
      <w:r>
        <w:rPr>
          <w:rFonts w:hint="default" w:ascii="Times New Roman" w:hAnsi="Times New Roman" w:cs="Times New Roman"/>
          <w:highlight w:val="none"/>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highlight w:val="yellow"/>
      </w:rPr>
      <w:fldChar w:fldCharType="begin"/>
    </w:r>
    <w:r>
      <w:rPr>
        <w:highlight w:val="yellow"/>
      </w:rPr>
      <w:instrText xml:space="preserve"> STYLEREF  标准文件_文件编号  \* MERGEFORMAT </w:instrText>
    </w:r>
    <w:r>
      <w:rPr>
        <w:highlight w:val="yellow"/>
      </w:rPr>
      <w:fldChar w:fldCharType="separate"/>
    </w:r>
    <w:r>
      <w:rPr>
        <w:highlight w:val="yellow"/>
      </w:rPr>
      <w:t>T/LNHX 001—2022</w:t>
    </w:r>
    <w:r>
      <w:rPr>
        <w:highlight w:val="yellow"/>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T/LNHX 001—2022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1418"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2ViYTNjMDQ2ZjVjNGRmNDA5ZDliNTZlNTZhNmUwNzEifQ=="/>
  </w:docVars>
  <w:rsids>
    <w:rsidRoot w:val="00604F0B"/>
    <w:rsid w:val="00000276"/>
    <w:rsid w:val="0000040A"/>
    <w:rsid w:val="00000A94"/>
    <w:rsid w:val="00001972"/>
    <w:rsid w:val="00001D9A"/>
    <w:rsid w:val="00003D26"/>
    <w:rsid w:val="000079D7"/>
    <w:rsid w:val="00007B3A"/>
    <w:rsid w:val="000107E0"/>
    <w:rsid w:val="00011FDE"/>
    <w:rsid w:val="00012DFF"/>
    <w:rsid w:val="00012FFD"/>
    <w:rsid w:val="0001360F"/>
    <w:rsid w:val="00014162"/>
    <w:rsid w:val="00014340"/>
    <w:rsid w:val="000158CE"/>
    <w:rsid w:val="0001678E"/>
    <w:rsid w:val="00016A9C"/>
    <w:rsid w:val="000217C4"/>
    <w:rsid w:val="00022184"/>
    <w:rsid w:val="00022762"/>
    <w:rsid w:val="000238E0"/>
    <w:rsid w:val="000249DB"/>
    <w:rsid w:val="0002595E"/>
    <w:rsid w:val="000303C3"/>
    <w:rsid w:val="000309D9"/>
    <w:rsid w:val="000331D3"/>
    <w:rsid w:val="000346A5"/>
    <w:rsid w:val="000359C3"/>
    <w:rsid w:val="00035A7D"/>
    <w:rsid w:val="000365ED"/>
    <w:rsid w:val="00036CEC"/>
    <w:rsid w:val="00041A78"/>
    <w:rsid w:val="0004249A"/>
    <w:rsid w:val="00043282"/>
    <w:rsid w:val="00044286"/>
    <w:rsid w:val="00046EBF"/>
    <w:rsid w:val="00047F28"/>
    <w:rsid w:val="000503AA"/>
    <w:rsid w:val="000506A1"/>
    <w:rsid w:val="000515DD"/>
    <w:rsid w:val="0005265A"/>
    <w:rsid w:val="000539DD"/>
    <w:rsid w:val="00053BD3"/>
    <w:rsid w:val="00054C90"/>
    <w:rsid w:val="000556ED"/>
    <w:rsid w:val="00055FE2"/>
    <w:rsid w:val="0005616F"/>
    <w:rsid w:val="00056F87"/>
    <w:rsid w:val="00060C2E"/>
    <w:rsid w:val="00061033"/>
    <w:rsid w:val="000619E9"/>
    <w:rsid w:val="000622D4"/>
    <w:rsid w:val="0006357D"/>
    <w:rsid w:val="00067964"/>
    <w:rsid w:val="00067F1E"/>
    <w:rsid w:val="00071CC0"/>
    <w:rsid w:val="00071CFC"/>
    <w:rsid w:val="00072119"/>
    <w:rsid w:val="00073C8C"/>
    <w:rsid w:val="000758DC"/>
    <w:rsid w:val="000768D5"/>
    <w:rsid w:val="00077B64"/>
    <w:rsid w:val="00080A1C"/>
    <w:rsid w:val="00080ED2"/>
    <w:rsid w:val="00082317"/>
    <w:rsid w:val="00083D2C"/>
    <w:rsid w:val="00086AA1"/>
    <w:rsid w:val="00087A77"/>
    <w:rsid w:val="00090CA6"/>
    <w:rsid w:val="000923F8"/>
    <w:rsid w:val="00092B8A"/>
    <w:rsid w:val="00092FB0"/>
    <w:rsid w:val="000934C5"/>
    <w:rsid w:val="00093D25"/>
    <w:rsid w:val="00093DAB"/>
    <w:rsid w:val="00093F5F"/>
    <w:rsid w:val="00093FA1"/>
    <w:rsid w:val="00094D73"/>
    <w:rsid w:val="0009513E"/>
    <w:rsid w:val="00096A9C"/>
    <w:rsid w:val="00096D63"/>
    <w:rsid w:val="000A0B60"/>
    <w:rsid w:val="000A0EB8"/>
    <w:rsid w:val="000A19FC"/>
    <w:rsid w:val="000A2961"/>
    <w:rsid w:val="000A2962"/>
    <w:rsid w:val="000A296B"/>
    <w:rsid w:val="000A716D"/>
    <w:rsid w:val="000A7311"/>
    <w:rsid w:val="000B060F"/>
    <w:rsid w:val="000B098B"/>
    <w:rsid w:val="000B1592"/>
    <w:rsid w:val="000B1FF2"/>
    <w:rsid w:val="000B3CDA"/>
    <w:rsid w:val="000B4EC3"/>
    <w:rsid w:val="000B6A0B"/>
    <w:rsid w:val="000B6FE9"/>
    <w:rsid w:val="000B7F63"/>
    <w:rsid w:val="000C0F6C"/>
    <w:rsid w:val="000C11DB"/>
    <w:rsid w:val="000C1492"/>
    <w:rsid w:val="000C2CEE"/>
    <w:rsid w:val="000C2FBD"/>
    <w:rsid w:val="000C3FAC"/>
    <w:rsid w:val="000C4B41"/>
    <w:rsid w:val="000C4F1A"/>
    <w:rsid w:val="000C57D6"/>
    <w:rsid w:val="000C6362"/>
    <w:rsid w:val="000C7666"/>
    <w:rsid w:val="000D0738"/>
    <w:rsid w:val="000D0A9C"/>
    <w:rsid w:val="000D1795"/>
    <w:rsid w:val="000D2D6A"/>
    <w:rsid w:val="000D329A"/>
    <w:rsid w:val="000D4B9C"/>
    <w:rsid w:val="000D4EB6"/>
    <w:rsid w:val="000D5400"/>
    <w:rsid w:val="000D57E2"/>
    <w:rsid w:val="000D753B"/>
    <w:rsid w:val="000E0E06"/>
    <w:rsid w:val="000E363D"/>
    <w:rsid w:val="000E4C9E"/>
    <w:rsid w:val="000E6F52"/>
    <w:rsid w:val="000E6FD7"/>
    <w:rsid w:val="000E7144"/>
    <w:rsid w:val="000F06E1"/>
    <w:rsid w:val="000F0E3C"/>
    <w:rsid w:val="000F19D5"/>
    <w:rsid w:val="000F4050"/>
    <w:rsid w:val="000F4AEA"/>
    <w:rsid w:val="000F67E9"/>
    <w:rsid w:val="000F72D6"/>
    <w:rsid w:val="00104926"/>
    <w:rsid w:val="001064FF"/>
    <w:rsid w:val="0010678C"/>
    <w:rsid w:val="00110DF7"/>
    <w:rsid w:val="00111FD7"/>
    <w:rsid w:val="00113B1E"/>
    <w:rsid w:val="001157D2"/>
    <w:rsid w:val="00116B2C"/>
    <w:rsid w:val="0011711C"/>
    <w:rsid w:val="00117FFE"/>
    <w:rsid w:val="00120C09"/>
    <w:rsid w:val="0012211F"/>
    <w:rsid w:val="00124353"/>
    <w:rsid w:val="00124E4F"/>
    <w:rsid w:val="001260B7"/>
    <w:rsid w:val="001265CB"/>
    <w:rsid w:val="001321C6"/>
    <w:rsid w:val="001325C4"/>
    <w:rsid w:val="00133010"/>
    <w:rsid w:val="0013338F"/>
    <w:rsid w:val="00133575"/>
    <w:rsid w:val="001338EE"/>
    <w:rsid w:val="00133AAE"/>
    <w:rsid w:val="00134E1D"/>
    <w:rsid w:val="00135323"/>
    <w:rsid w:val="001356C4"/>
    <w:rsid w:val="00137565"/>
    <w:rsid w:val="00141114"/>
    <w:rsid w:val="00141144"/>
    <w:rsid w:val="00142969"/>
    <w:rsid w:val="001446C2"/>
    <w:rsid w:val="001457E7"/>
    <w:rsid w:val="00145D9D"/>
    <w:rsid w:val="00146388"/>
    <w:rsid w:val="001504A2"/>
    <w:rsid w:val="001525C3"/>
    <w:rsid w:val="001529E5"/>
    <w:rsid w:val="00152BED"/>
    <w:rsid w:val="00152C52"/>
    <w:rsid w:val="00152FB3"/>
    <w:rsid w:val="00153C7E"/>
    <w:rsid w:val="00154BE1"/>
    <w:rsid w:val="00154E7B"/>
    <w:rsid w:val="00156B25"/>
    <w:rsid w:val="00156E1A"/>
    <w:rsid w:val="00157894"/>
    <w:rsid w:val="00157B55"/>
    <w:rsid w:val="00160BB1"/>
    <w:rsid w:val="0016144D"/>
    <w:rsid w:val="001642FA"/>
    <w:rsid w:val="001649EB"/>
    <w:rsid w:val="00164BAF"/>
    <w:rsid w:val="00164E67"/>
    <w:rsid w:val="00164FA8"/>
    <w:rsid w:val="00165065"/>
    <w:rsid w:val="00165434"/>
    <w:rsid w:val="0016580B"/>
    <w:rsid w:val="00165F49"/>
    <w:rsid w:val="00166B88"/>
    <w:rsid w:val="0016770A"/>
    <w:rsid w:val="00167F58"/>
    <w:rsid w:val="00170804"/>
    <w:rsid w:val="001708E9"/>
    <w:rsid w:val="00171314"/>
    <w:rsid w:val="0017300E"/>
    <w:rsid w:val="0017340B"/>
    <w:rsid w:val="00173FB1"/>
    <w:rsid w:val="00174568"/>
    <w:rsid w:val="00175605"/>
    <w:rsid w:val="0017607E"/>
    <w:rsid w:val="00176DFD"/>
    <w:rsid w:val="00177E17"/>
    <w:rsid w:val="0018061C"/>
    <w:rsid w:val="00182144"/>
    <w:rsid w:val="00182338"/>
    <w:rsid w:val="00183FA9"/>
    <w:rsid w:val="001852C9"/>
    <w:rsid w:val="00187A0B"/>
    <w:rsid w:val="00190087"/>
    <w:rsid w:val="00190AD3"/>
    <w:rsid w:val="001913C4"/>
    <w:rsid w:val="00191CDB"/>
    <w:rsid w:val="0019348F"/>
    <w:rsid w:val="00193A07"/>
    <w:rsid w:val="0019437C"/>
    <w:rsid w:val="00194C95"/>
    <w:rsid w:val="00195C34"/>
    <w:rsid w:val="00196EF5"/>
    <w:rsid w:val="001A132F"/>
    <w:rsid w:val="001A1A53"/>
    <w:rsid w:val="001A234A"/>
    <w:rsid w:val="001A2C99"/>
    <w:rsid w:val="001A3D15"/>
    <w:rsid w:val="001A473A"/>
    <w:rsid w:val="001A4B2D"/>
    <w:rsid w:val="001A4CF3"/>
    <w:rsid w:val="001A56A9"/>
    <w:rsid w:val="001A6696"/>
    <w:rsid w:val="001A68D1"/>
    <w:rsid w:val="001A71F7"/>
    <w:rsid w:val="001A7AF1"/>
    <w:rsid w:val="001A7CD4"/>
    <w:rsid w:val="001B06E8"/>
    <w:rsid w:val="001B1705"/>
    <w:rsid w:val="001B1D0E"/>
    <w:rsid w:val="001B4BD6"/>
    <w:rsid w:val="001B71D0"/>
    <w:rsid w:val="001B71EE"/>
    <w:rsid w:val="001C04A8"/>
    <w:rsid w:val="001C1C7F"/>
    <w:rsid w:val="001C2C03"/>
    <w:rsid w:val="001C4119"/>
    <w:rsid w:val="001C42F7"/>
    <w:rsid w:val="001C49E5"/>
    <w:rsid w:val="001C680C"/>
    <w:rsid w:val="001C7015"/>
    <w:rsid w:val="001C7542"/>
    <w:rsid w:val="001C7FEA"/>
    <w:rsid w:val="001D0499"/>
    <w:rsid w:val="001D0BBE"/>
    <w:rsid w:val="001D0ED4"/>
    <w:rsid w:val="001D1E30"/>
    <w:rsid w:val="001D212F"/>
    <w:rsid w:val="001D29D7"/>
    <w:rsid w:val="001D2DE7"/>
    <w:rsid w:val="001D2FBE"/>
    <w:rsid w:val="001D328D"/>
    <w:rsid w:val="001D411C"/>
    <w:rsid w:val="001D69DA"/>
    <w:rsid w:val="001D7191"/>
    <w:rsid w:val="001E1306"/>
    <w:rsid w:val="001E1B1A"/>
    <w:rsid w:val="001E1B6A"/>
    <w:rsid w:val="001E221F"/>
    <w:rsid w:val="001E2484"/>
    <w:rsid w:val="001E3CC4"/>
    <w:rsid w:val="001E3DAB"/>
    <w:rsid w:val="001E482E"/>
    <w:rsid w:val="001E4882"/>
    <w:rsid w:val="001E48F1"/>
    <w:rsid w:val="001E5685"/>
    <w:rsid w:val="001E73AB"/>
    <w:rsid w:val="001F092D"/>
    <w:rsid w:val="001F143A"/>
    <w:rsid w:val="001F1605"/>
    <w:rsid w:val="001F201E"/>
    <w:rsid w:val="001F2508"/>
    <w:rsid w:val="001F4816"/>
    <w:rsid w:val="001F50DA"/>
    <w:rsid w:val="001F68B0"/>
    <w:rsid w:val="001F69B4"/>
    <w:rsid w:val="001F77C7"/>
    <w:rsid w:val="00200183"/>
    <w:rsid w:val="00200333"/>
    <w:rsid w:val="0020107D"/>
    <w:rsid w:val="00202884"/>
    <w:rsid w:val="00202AA4"/>
    <w:rsid w:val="002031F7"/>
    <w:rsid w:val="002040E6"/>
    <w:rsid w:val="00204FCE"/>
    <w:rsid w:val="0020527B"/>
    <w:rsid w:val="002055EF"/>
    <w:rsid w:val="00205F2C"/>
    <w:rsid w:val="00210B15"/>
    <w:rsid w:val="0021217D"/>
    <w:rsid w:val="002142EA"/>
    <w:rsid w:val="00215ADD"/>
    <w:rsid w:val="002173DC"/>
    <w:rsid w:val="002204BB"/>
    <w:rsid w:val="00221B79"/>
    <w:rsid w:val="00221C6B"/>
    <w:rsid w:val="002225C7"/>
    <w:rsid w:val="002253A1"/>
    <w:rsid w:val="00225CF8"/>
    <w:rsid w:val="0022794E"/>
    <w:rsid w:val="00227A3D"/>
    <w:rsid w:val="00233CCC"/>
    <w:rsid w:val="00233D64"/>
    <w:rsid w:val="0023482A"/>
    <w:rsid w:val="0023567D"/>
    <w:rsid w:val="002359CB"/>
    <w:rsid w:val="00241278"/>
    <w:rsid w:val="00242A21"/>
    <w:rsid w:val="00243540"/>
    <w:rsid w:val="0024497B"/>
    <w:rsid w:val="0024515B"/>
    <w:rsid w:val="00246021"/>
    <w:rsid w:val="0024666E"/>
    <w:rsid w:val="00247F52"/>
    <w:rsid w:val="00250397"/>
    <w:rsid w:val="00250B25"/>
    <w:rsid w:val="00250BBE"/>
    <w:rsid w:val="002515C2"/>
    <w:rsid w:val="0025194F"/>
    <w:rsid w:val="00255A41"/>
    <w:rsid w:val="002602EE"/>
    <w:rsid w:val="00260F4F"/>
    <w:rsid w:val="0026148A"/>
    <w:rsid w:val="00261BA1"/>
    <w:rsid w:val="00262696"/>
    <w:rsid w:val="00263D25"/>
    <w:rsid w:val="002643C3"/>
    <w:rsid w:val="00264A0C"/>
    <w:rsid w:val="00265932"/>
    <w:rsid w:val="00266EEB"/>
    <w:rsid w:val="00267EF4"/>
    <w:rsid w:val="002700F4"/>
    <w:rsid w:val="00270CB8"/>
    <w:rsid w:val="00270E4D"/>
    <w:rsid w:val="0027295F"/>
    <w:rsid w:val="00272B08"/>
    <w:rsid w:val="00273138"/>
    <w:rsid w:val="002737A4"/>
    <w:rsid w:val="0027430E"/>
    <w:rsid w:val="00275FAE"/>
    <w:rsid w:val="00281BB8"/>
    <w:rsid w:val="00281E9E"/>
    <w:rsid w:val="00282405"/>
    <w:rsid w:val="00284A3E"/>
    <w:rsid w:val="00285170"/>
    <w:rsid w:val="00285361"/>
    <w:rsid w:val="00285682"/>
    <w:rsid w:val="00285E4A"/>
    <w:rsid w:val="002867F1"/>
    <w:rsid w:val="002900E3"/>
    <w:rsid w:val="00290BCC"/>
    <w:rsid w:val="00292D60"/>
    <w:rsid w:val="002937DE"/>
    <w:rsid w:val="00293B30"/>
    <w:rsid w:val="00294D34"/>
    <w:rsid w:val="00294E3B"/>
    <w:rsid w:val="00296193"/>
    <w:rsid w:val="00296216"/>
    <w:rsid w:val="00296653"/>
    <w:rsid w:val="00296C66"/>
    <w:rsid w:val="00296EBE"/>
    <w:rsid w:val="002974E3"/>
    <w:rsid w:val="002975BA"/>
    <w:rsid w:val="002A084B"/>
    <w:rsid w:val="002A1260"/>
    <w:rsid w:val="002A1589"/>
    <w:rsid w:val="002A1608"/>
    <w:rsid w:val="002A1F7F"/>
    <w:rsid w:val="002A25DC"/>
    <w:rsid w:val="002A3329"/>
    <w:rsid w:val="002A3AAB"/>
    <w:rsid w:val="002A4CEA"/>
    <w:rsid w:val="002A5977"/>
    <w:rsid w:val="002A5A13"/>
    <w:rsid w:val="002A757F"/>
    <w:rsid w:val="002A7F2E"/>
    <w:rsid w:val="002A7F44"/>
    <w:rsid w:val="002B0C40"/>
    <w:rsid w:val="002B1966"/>
    <w:rsid w:val="002B4508"/>
    <w:rsid w:val="002B5779"/>
    <w:rsid w:val="002B6529"/>
    <w:rsid w:val="002B7332"/>
    <w:rsid w:val="002B7F51"/>
    <w:rsid w:val="002C09E7"/>
    <w:rsid w:val="002C170D"/>
    <w:rsid w:val="002C1E06"/>
    <w:rsid w:val="002C2DC8"/>
    <w:rsid w:val="002C37C3"/>
    <w:rsid w:val="002C3D81"/>
    <w:rsid w:val="002C3F07"/>
    <w:rsid w:val="002C5278"/>
    <w:rsid w:val="002C68DB"/>
    <w:rsid w:val="002C7EBB"/>
    <w:rsid w:val="002D00C9"/>
    <w:rsid w:val="002D06C1"/>
    <w:rsid w:val="002D42B5"/>
    <w:rsid w:val="002D4F1A"/>
    <w:rsid w:val="002D6263"/>
    <w:rsid w:val="002D6EC6"/>
    <w:rsid w:val="002D79AC"/>
    <w:rsid w:val="002E039D"/>
    <w:rsid w:val="002E1679"/>
    <w:rsid w:val="002E17E8"/>
    <w:rsid w:val="002E2F16"/>
    <w:rsid w:val="002E399D"/>
    <w:rsid w:val="002E4A83"/>
    <w:rsid w:val="002E4CD1"/>
    <w:rsid w:val="002E4D5A"/>
    <w:rsid w:val="002E54AA"/>
    <w:rsid w:val="002E6326"/>
    <w:rsid w:val="002F18C9"/>
    <w:rsid w:val="002F30E0"/>
    <w:rsid w:val="002F35E4"/>
    <w:rsid w:val="002F3730"/>
    <w:rsid w:val="002F38E1"/>
    <w:rsid w:val="002F7AF6"/>
    <w:rsid w:val="00300E63"/>
    <w:rsid w:val="00302F5F"/>
    <w:rsid w:val="00303CB1"/>
    <w:rsid w:val="0030441D"/>
    <w:rsid w:val="00306063"/>
    <w:rsid w:val="00311691"/>
    <w:rsid w:val="00313177"/>
    <w:rsid w:val="00313217"/>
    <w:rsid w:val="0031350D"/>
    <w:rsid w:val="00313B85"/>
    <w:rsid w:val="003144B1"/>
    <w:rsid w:val="003158F4"/>
    <w:rsid w:val="00316B08"/>
    <w:rsid w:val="00317988"/>
    <w:rsid w:val="003221B4"/>
    <w:rsid w:val="0032258D"/>
    <w:rsid w:val="00322CA5"/>
    <w:rsid w:val="00322E62"/>
    <w:rsid w:val="00324D13"/>
    <w:rsid w:val="00324EDD"/>
    <w:rsid w:val="003273A3"/>
    <w:rsid w:val="00330FFB"/>
    <w:rsid w:val="0033100A"/>
    <w:rsid w:val="003331E4"/>
    <w:rsid w:val="00333E3A"/>
    <w:rsid w:val="00336C64"/>
    <w:rsid w:val="00337162"/>
    <w:rsid w:val="0034194F"/>
    <w:rsid w:val="00343764"/>
    <w:rsid w:val="00344605"/>
    <w:rsid w:val="003474AA"/>
    <w:rsid w:val="00347680"/>
    <w:rsid w:val="00350D1D"/>
    <w:rsid w:val="00352C83"/>
    <w:rsid w:val="00352F1A"/>
    <w:rsid w:val="0035310C"/>
    <w:rsid w:val="00354964"/>
    <w:rsid w:val="00354DB5"/>
    <w:rsid w:val="00356330"/>
    <w:rsid w:val="0036060A"/>
    <w:rsid w:val="00360D50"/>
    <w:rsid w:val="0036107C"/>
    <w:rsid w:val="003615D2"/>
    <w:rsid w:val="0036429C"/>
    <w:rsid w:val="00364A53"/>
    <w:rsid w:val="003654CB"/>
    <w:rsid w:val="00365AA9"/>
    <w:rsid w:val="00365F86"/>
    <w:rsid w:val="00365F87"/>
    <w:rsid w:val="00366E89"/>
    <w:rsid w:val="003676E6"/>
    <w:rsid w:val="003705F4"/>
    <w:rsid w:val="00370D58"/>
    <w:rsid w:val="00371316"/>
    <w:rsid w:val="00373844"/>
    <w:rsid w:val="00376713"/>
    <w:rsid w:val="00381815"/>
    <w:rsid w:val="003819AF"/>
    <w:rsid w:val="003820E9"/>
    <w:rsid w:val="00382568"/>
    <w:rsid w:val="00382DE7"/>
    <w:rsid w:val="00384FFC"/>
    <w:rsid w:val="00386AA1"/>
    <w:rsid w:val="003872FC"/>
    <w:rsid w:val="00387ADC"/>
    <w:rsid w:val="00390020"/>
    <w:rsid w:val="003903D6"/>
    <w:rsid w:val="00390B8B"/>
    <w:rsid w:val="00390EE6"/>
    <w:rsid w:val="0039118F"/>
    <w:rsid w:val="00392AD7"/>
    <w:rsid w:val="003934C4"/>
    <w:rsid w:val="003938D9"/>
    <w:rsid w:val="00393B1A"/>
    <w:rsid w:val="00393CC4"/>
    <w:rsid w:val="00394376"/>
    <w:rsid w:val="003943FF"/>
    <w:rsid w:val="003974EB"/>
    <w:rsid w:val="00397CC5"/>
    <w:rsid w:val="003A11D1"/>
    <w:rsid w:val="003A1582"/>
    <w:rsid w:val="003A181B"/>
    <w:rsid w:val="003A1C96"/>
    <w:rsid w:val="003A3D9C"/>
    <w:rsid w:val="003A4077"/>
    <w:rsid w:val="003A48BB"/>
    <w:rsid w:val="003A48C8"/>
    <w:rsid w:val="003A4AA7"/>
    <w:rsid w:val="003A75D9"/>
    <w:rsid w:val="003A7733"/>
    <w:rsid w:val="003B09AD"/>
    <w:rsid w:val="003B19EF"/>
    <w:rsid w:val="003B1F18"/>
    <w:rsid w:val="003B5BF0"/>
    <w:rsid w:val="003B60BF"/>
    <w:rsid w:val="003B653B"/>
    <w:rsid w:val="003B6BE3"/>
    <w:rsid w:val="003C010C"/>
    <w:rsid w:val="003C0532"/>
    <w:rsid w:val="003C0A6C"/>
    <w:rsid w:val="003C14F8"/>
    <w:rsid w:val="003C4402"/>
    <w:rsid w:val="003C568F"/>
    <w:rsid w:val="003C5A43"/>
    <w:rsid w:val="003C6353"/>
    <w:rsid w:val="003C6790"/>
    <w:rsid w:val="003D0519"/>
    <w:rsid w:val="003D0FF6"/>
    <w:rsid w:val="003D262C"/>
    <w:rsid w:val="003D3BF1"/>
    <w:rsid w:val="003D55C3"/>
    <w:rsid w:val="003D6D61"/>
    <w:rsid w:val="003E019F"/>
    <w:rsid w:val="003E091D"/>
    <w:rsid w:val="003E0CFB"/>
    <w:rsid w:val="003E1C53"/>
    <w:rsid w:val="003E2A69"/>
    <w:rsid w:val="003E2D49"/>
    <w:rsid w:val="003E2FD4"/>
    <w:rsid w:val="003E42AA"/>
    <w:rsid w:val="003E49F6"/>
    <w:rsid w:val="003E660F"/>
    <w:rsid w:val="003E71BF"/>
    <w:rsid w:val="003F0841"/>
    <w:rsid w:val="003F22EE"/>
    <w:rsid w:val="003F23D3"/>
    <w:rsid w:val="003F3F08"/>
    <w:rsid w:val="003F44FC"/>
    <w:rsid w:val="003F49F1"/>
    <w:rsid w:val="003F519F"/>
    <w:rsid w:val="003F6272"/>
    <w:rsid w:val="00400E72"/>
    <w:rsid w:val="00401400"/>
    <w:rsid w:val="00402115"/>
    <w:rsid w:val="00402FF9"/>
    <w:rsid w:val="0040363F"/>
    <w:rsid w:val="00404744"/>
    <w:rsid w:val="0040482E"/>
    <w:rsid w:val="00404869"/>
    <w:rsid w:val="00405884"/>
    <w:rsid w:val="00407D39"/>
    <w:rsid w:val="00412C36"/>
    <w:rsid w:val="0041477A"/>
    <w:rsid w:val="004159CF"/>
    <w:rsid w:val="00416452"/>
    <w:rsid w:val="004167A3"/>
    <w:rsid w:val="00421845"/>
    <w:rsid w:val="004221CD"/>
    <w:rsid w:val="00426580"/>
    <w:rsid w:val="004317D8"/>
    <w:rsid w:val="00432DAA"/>
    <w:rsid w:val="00434305"/>
    <w:rsid w:val="004354DB"/>
    <w:rsid w:val="00435DF7"/>
    <w:rsid w:val="0044083F"/>
    <w:rsid w:val="00441AE7"/>
    <w:rsid w:val="00441B75"/>
    <w:rsid w:val="00445574"/>
    <w:rsid w:val="004467FB"/>
    <w:rsid w:val="00447D8A"/>
    <w:rsid w:val="00450B70"/>
    <w:rsid w:val="00450D5B"/>
    <w:rsid w:val="00452D6B"/>
    <w:rsid w:val="00454484"/>
    <w:rsid w:val="00454D2D"/>
    <w:rsid w:val="0045517B"/>
    <w:rsid w:val="00455CAD"/>
    <w:rsid w:val="00457111"/>
    <w:rsid w:val="00457680"/>
    <w:rsid w:val="00461256"/>
    <w:rsid w:val="00463625"/>
    <w:rsid w:val="00463B77"/>
    <w:rsid w:val="00463C7B"/>
    <w:rsid w:val="004644A6"/>
    <w:rsid w:val="004659BD"/>
    <w:rsid w:val="00465F1F"/>
    <w:rsid w:val="00466C6A"/>
    <w:rsid w:val="00466DB4"/>
    <w:rsid w:val="00470775"/>
    <w:rsid w:val="004746B1"/>
    <w:rsid w:val="00475594"/>
    <w:rsid w:val="0047583F"/>
    <w:rsid w:val="00475DE8"/>
    <w:rsid w:val="004816D3"/>
    <w:rsid w:val="00481C44"/>
    <w:rsid w:val="00482857"/>
    <w:rsid w:val="004837F2"/>
    <w:rsid w:val="00484936"/>
    <w:rsid w:val="00484C30"/>
    <w:rsid w:val="00484D2E"/>
    <w:rsid w:val="00485C89"/>
    <w:rsid w:val="00486BE3"/>
    <w:rsid w:val="004872CA"/>
    <w:rsid w:val="004877C1"/>
    <w:rsid w:val="004905E4"/>
    <w:rsid w:val="00490A89"/>
    <w:rsid w:val="00490AB4"/>
    <w:rsid w:val="00492F02"/>
    <w:rsid w:val="004939AE"/>
    <w:rsid w:val="00494D1D"/>
    <w:rsid w:val="00495ACB"/>
    <w:rsid w:val="00496D76"/>
    <w:rsid w:val="004A0D6E"/>
    <w:rsid w:val="004A12DF"/>
    <w:rsid w:val="004A1A62"/>
    <w:rsid w:val="004A1BA8"/>
    <w:rsid w:val="004A1BA9"/>
    <w:rsid w:val="004A4033"/>
    <w:rsid w:val="004A4142"/>
    <w:rsid w:val="004A4B57"/>
    <w:rsid w:val="004A4E2C"/>
    <w:rsid w:val="004A63FA"/>
    <w:rsid w:val="004A6A3D"/>
    <w:rsid w:val="004B0272"/>
    <w:rsid w:val="004B0D5F"/>
    <w:rsid w:val="004B2701"/>
    <w:rsid w:val="004B2E1B"/>
    <w:rsid w:val="004B3AA8"/>
    <w:rsid w:val="004B3E93"/>
    <w:rsid w:val="004B41E7"/>
    <w:rsid w:val="004B523F"/>
    <w:rsid w:val="004C1FBC"/>
    <w:rsid w:val="004C25A2"/>
    <w:rsid w:val="004C3F1D"/>
    <w:rsid w:val="004C458D"/>
    <w:rsid w:val="004C4AD1"/>
    <w:rsid w:val="004C7556"/>
    <w:rsid w:val="004C7E8B"/>
    <w:rsid w:val="004C7E9D"/>
    <w:rsid w:val="004C7F67"/>
    <w:rsid w:val="004D048A"/>
    <w:rsid w:val="004D076D"/>
    <w:rsid w:val="004D0EF1"/>
    <w:rsid w:val="004D2253"/>
    <w:rsid w:val="004D4406"/>
    <w:rsid w:val="004D7C42"/>
    <w:rsid w:val="004E0465"/>
    <w:rsid w:val="004E127B"/>
    <w:rsid w:val="004E1C0A"/>
    <w:rsid w:val="004E30C5"/>
    <w:rsid w:val="004E4AA5"/>
    <w:rsid w:val="004E4AEE"/>
    <w:rsid w:val="004E59E3"/>
    <w:rsid w:val="004E67C0"/>
    <w:rsid w:val="004E6EA3"/>
    <w:rsid w:val="004F2025"/>
    <w:rsid w:val="004F33A8"/>
    <w:rsid w:val="004F391A"/>
    <w:rsid w:val="004F3CFB"/>
    <w:rsid w:val="004F6212"/>
    <w:rsid w:val="004F6456"/>
    <w:rsid w:val="004F696E"/>
    <w:rsid w:val="004F6C71"/>
    <w:rsid w:val="00501139"/>
    <w:rsid w:val="00501AEF"/>
    <w:rsid w:val="0050363E"/>
    <w:rsid w:val="005039BC"/>
    <w:rsid w:val="005043BB"/>
    <w:rsid w:val="00504A3D"/>
    <w:rsid w:val="005052AF"/>
    <w:rsid w:val="00505767"/>
    <w:rsid w:val="00506931"/>
    <w:rsid w:val="00506D30"/>
    <w:rsid w:val="005073F0"/>
    <w:rsid w:val="00507EA7"/>
    <w:rsid w:val="00510A7B"/>
    <w:rsid w:val="00510C5D"/>
    <w:rsid w:val="00512F6E"/>
    <w:rsid w:val="00513038"/>
    <w:rsid w:val="00514174"/>
    <w:rsid w:val="00516088"/>
    <w:rsid w:val="00516B0B"/>
    <w:rsid w:val="0052188D"/>
    <w:rsid w:val="005220EC"/>
    <w:rsid w:val="00523F95"/>
    <w:rsid w:val="00524D65"/>
    <w:rsid w:val="00525B16"/>
    <w:rsid w:val="00527B43"/>
    <w:rsid w:val="00530B9D"/>
    <w:rsid w:val="00533D04"/>
    <w:rsid w:val="00534804"/>
    <w:rsid w:val="00534A5F"/>
    <w:rsid w:val="00534BDF"/>
    <w:rsid w:val="005354EA"/>
    <w:rsid w:val="0053585F"/>
    <w:rsid w:val="00535AD3"/>
    <w:rsid w:val="00535EC4"/>
    <w:rsid w:val="00535ED9"/>
    <w:rsid w:val="0053692B"/>
    <w:rsid w:val="00536CFF"/>
    <w:rsid w:val="005378DA"/>
    <w:rsid w:val="005405DB"/>
    <w:rsid w:val="00540D75"/>
    <w:rsid w:val="00541853"/>
    <w:rsid w:val="00543BDA"/>
    <w:rsid w:val="005441CC"/>
    <w:rsid w:val="005479DA"/>
    <w:rsid w:val="00547BCC"/>
    <w:rsid w:val="0055013B"/>
    <w:rsid w:val="00550A13"/>
    <w:rsid w:val="00551F6F"/>
    <w:rsid w:val="00555044"/>
    <w:rsid w:val="0055765E"/>
    <w:rsid w:val="005606BE"/>
    <w:rsid w:val="00560913"/>
    <w:rsid w:val="00561475"/>
    <w:rsid w:val="00562032"/>
    <w:rsid w:val="00562308"/>
    <w:rsid w:val="005642F3"/>
    <w:rsid w:val="0056487B"/>
    <w:rsid w:val="00564FB9"/>
    <w:rsid w:val="005671FC"/>
    <w:rsid w:val="00573D9E"/>
    <w:rsid w:val="00574D9A"/>
    <w:rsid w:val="00575A60"/>
    <w:rsid w:val="0057686A"/>
    <w:rsid w:val="005801E3"/>
    <w:rsid w:val="00581802"/>
    <w:rsid w:val="005836A8"/>
    <w:rsid w:val="00583B00"/>
    <w:rsid w:val="0058409C"/>
    <w:rsid w:val="00584262"/>
    <w:rsid w:val="00586630"/>
    <w:rsid w:val="00587ADD"/>
    <w:rsid w:val="00587CF3"/>
    <w:rsid w:val="00593A49"/>
    <w:rsid w:val="00594254"/>
    <w:rsid w:val="00596160"/>
    <w:rsid w:val="005966E2"/>
    <w:rsid w:val="00597007"/>
    <w:rsid w:val="005A0966"/>
    <w:rsid w:val="005A11B7"/>
    <w:rsid w:val="005A260B"/>
    <w:rsid w:val="005A3327"/>
    <w:rsid w:val="005A4A1B"/>
    <w:rsid w:val="005A4CC2"/>
    <w:rsid w:val="005A7830"/>
    <w:rsid w:val="005A7FCE"/>
    <w:rsid w:val="005B0F3F"/>
    <w:rsid w:val="005B191C"/>
    <w:rsid w:val="005B4903"/>
    <w:rsid w:val="005B506F"/>
    <w:rsid w:val="005B51CE"/>
    <w:rsid w:val="005B5885"/>
    <w:rsid w:val="005B5C09"/>
    <w:rsid w:val="005B5CD7"/>
    <w:rsid w:val="005B5F08"/>
    <w:rsid w:val="005B5FDE"/>
    <w:rsid w:val="005B6CF6"/>
    <w:rsid w:val="005B7422"/>
    <w:rsid w:val="005C165F"/>
    <w:rsid w:val="005C214F"/>
    <w:rsid w:val="005C29B8"/>
    <w:rsid w:val="005C5F21"/>
    <w:rsid w:val="005C7156"/>
    <w:rsid w:val="005D07D8"/>
    <w:rsid w:val="005D0C75"/>
    <w:rsid w:val="005D4171"/>
    <w:rsid w:val="005D6A95"/>
    <w:rsid w:val="005D6B2C"/>
    <w:rsid w:val="005D6D9C"/>
    <w:rsid w:val="005D6F19"/>
    <w:rsid w:val="005D7FD1"/>
    <w:rsid w:val="005E194B"/>
    <w:rsid w:val="005E1E48"/>
    <w:rsid w:val="005E2335"/>
    <w:rsid w:val="005E289B"/>
    <w:rsid w:val="005E2A08"/>
    <w:rsid w:val="005E34CA"/>
    <w:rsid w:val="005E3C18"/>
    <w:rsid w:val="005E4250"/>
    <w:rsid w:val="005E6812"/>
    <w:rsid w:val="005E7881"/>
    <w:rsid w:val="005E78E0"/>
    <w:rsid w:val="005F0D9C"/>
    <w:rsid w:val="005F1CD8"/>
    <w:rsid w:val="005F284E"/>
    <w:rsid w:val="005F6A41"/>
    <w:rsid w:val="005F6CA2"/>
    <w:rsid w:val="005F7C64"/>
    <w:rsid w:val="005F7DEE"/>
    <w:rsid w:val="006015CE"/>
    <w:rsid w:val="0060369D"/>
    <w:rsid w:val="0060376F"/>
    <w:rsid w:val="00604784"/>
    <w:rsid w:val="00604F0B"/>
    <w:rsid w:val="00605A01"/>
    <w:rsid w:val="00606419"/>
    <w:rsid w:val="00607AB2"/>
    <w:rsid w:val="00607D29"/>
    <w:rsid w:val="00611C2C"/>
    <w:rsid w:val="00612952"/>
    <w:rsid w:val="006136D6"/>
    <w:rsid w:val="006138D3"/>
    <w:rsid w:val="00613B6C"/>
    <w:rsid w:val="006143CA"/>
    <w:rsid w:val="00614CC1"/>
    <w:rsid w:val="00615675"/>
    <w:rsid w:val="00615A9D"/>
    <w:rsid w:val="006171F2"/>
    <w:rsid w:val="00617387"/>
    <w:rsid w:val="00620387"/>
    <w:rsid w:val="006205D6"/>
    <w:rsid w:val="0062158E"/>
    <w:rsid w:val="0062250E"/>
    <w:rsid w:val="00623D8A"/>
    <w:rsid w:val="00624200"/>
    <w:rsid w:val="006252D8"/>
    <w:rsid w:val="006259BC"/>
    <w:rsid w:val="00625E64"/>
    <w:rsid w:val="0062636B"/>
    <w:rsid w:val="00626A5C"/>
    <w:rsid w:val="00632182"/>
    <w:rsid w:val="006326C9"/>
    <w:rsid w:val="00632AE0"/>
    <w:rsid w:val="0063325A"/>
    <w:rsid w:val="00633C17"/>
    <w:rsid w:val="00634D9E"/>
    <w:rsid w:val="00635606"/>
    <w:rsid w:val="00636E3E"/>
    <w:rsid w:val="0063769A"/>
    <w:rsid w:val="006379F7"/>
    <w:rsid w:val="00637E4D"/>
    <w:rsid w:val="00640620"/>
    <w:rsid w:val="00641A1F"/>
    <w:rsid w:val="0064339C"/>
    <w:rsid w:val="006436AF"/>
    <w:rsid w:val="00644EC9"/>
    <w:rsid w:val="00645904"/>
    <w:rsid w:val="00645EF3"/>
    <w:rsid w:val="006505C7"/>
    <w:rsid w:val="00651ACB"/>
    <w:rsid w:val="00651C47"/>
    <w:rsid w:val="00651E10"/>
    <w:rsid w:val="0065281D"/>
    <w:rsid w:val="006529F9"/>
    <w:rsid w:val="00652AB2"/>
    <w:rsid w:val="00653FED"/>
    <w:rsid w:val="0065430F"/>
    <w:rsid w:val="00654EC0"/>
    <w:rsid w:val="0065525B"/>
    <w:rsid w:val="00655D4F"/>
    <w:rsid w:val="00656D29"/>
    <w:rsid w:val="006573B8"/>
    <w:rsid w:val="006611EE"/>
    <w:rsid w:val="006640E5"/>
    <w:rsid w:val="006642C9"/>
    <w:rsid w:val="006646F1"/>
    <w:rsid w:val="00664929"/>
    <w:rsid w:val="00664F62"/>
    <w:rsid w:val="006655E1"/>
    <w:rsid w:val="00665A77"/>
    <w:rsid w:val="0067107D"/>
    <w:rsid w:val="00672060"/>
    <w:rsid w:val="00672BFD"/>
    <w:rsid w:val="00673300"/>
    <w:rsid w:val="00675462"/>
    <w:rsid w:val="00676CBF"/>
    <w:rsid w:val="006770F4"/>
    <w:rsid w:val="00677607"/>
    <w:rsid w:val="00677A84"/>
    <w:rsid w:val="0068026D"/>
    <w:rsid w:val="00680A27"/>
    <w:rsid w:val="006816A4"/>
    <w:rsid w:val="006819B8"/>
    <w:rsid w:val="00681B81"/>
    <w:rsid w:val="00681BB8"/>
    <w:rsid w:val="006840A6"/>
    <w:rsid w:val="006850CD"/>
    <w:rsid w:val="00685AAB"/>
    <w:rsid w:val="00692004"/>
    <w:rsid w:val="006920C9"/>
    <w:rsid w:val="006931FA"/>
    <w:rsid w:val="00693604"/>
    <w:rsid w:val="006A07AA"/>
    <w:rsid w:val="006A10D0"/>
    <w:rsid w:val="006A25E5"/>
    <w:rsid w:val="006A2B46"/>
    <w:rsid w:val="006A336D"/>
    <w:rsid w:val="006A37B9"/>
    <w:rsid w:val="006B2672"/>
    <w:rsid w:val="006B2F1C"/>
    <w:rsid w:val="006B4E0C"/>
    <w:rsid w:val="006B54BF"/>
    <w:rsid w:val="006B5F44"/>
    <w:rsid w:val="006B5F90"/>
    <w:rsid w:val="006B62E4"/>
    <w:rsid w:val="006C1BBA"/>
    <w:rsid w:val="006C2079"/>
    <w:rsid w:val="006C5A62"/>
    <w:rsid w:val="006C5D68"/>
    <w:rsid w:val="006C5E7A"/>
    <w:rsid w:val="006C6976"/>
    <w:rsid w:val="006C6DD0"/>
    <w:rsid w:val="006C7FF5"/>
    <w:rsid w:val="006D04EA"/>
    <w:rsid w:val="006D16C4"/>
    <w:rsid w:val="006D3E96"/>
    <w:rsid w:val="006D430B"/>
    <w:rsid w:val="006D43E8"/>
    <w:rsid w:val="006D4515"/>
    <w:rsid w:val="006D4B9A"/>
    <w:rsid w:val="006D4BB1"/>
    <w:rsid w:val="006D6593"/>
    <w:rsid w:val="006D6FBC"/>
    <w:rsid w:val="006E08BA"/>
    <w:rsid w:val="006E39C7"/>
    <w:rsid w:val="006E3F0F"/>
    <w:rsid w:val="006E4147"/>
    <w:rsid w:val="006E7334"/>
    <w:rsid w:val="006F03A8"/>
    <w:rsid w:val="006F2ACA"/>
    <w:rsid w:val="006F2ADC"/>
    <w:rsid w:val="006F2BFE"/>
    <w:rsid w:val="006F31E9"/>
    <w:rsid w:val="006F4F59"/>
    <w:rsid w:val="006F6284"/>
    <w:rsid w:val="007002C5"/>
    <w:rsid w:val="00704387"/>
    <w:rsid w:val="00707669"/>
    <w:rsid w:val="007108AD"/>
    <w:rsid w:val="00711CBA"/>
    <w:rsid w:val="00711FB5"/>
    <w:rsid w:val="00712A01"/>
    <w:rsid w:val="00714F58"/>
    <w:rsid w:val="007157ED"/>
    <w:rsid w:val="00715869"/>
    <w:rsid w:val="00722FBF"/>
    <w:rsid w:val="00722FC2"/>
    <w:rsid w:val="00724E1B"/>
    <w:rsid w:val="00725949"/>
    <w:rsid w:val="00727FA2"/>
    <w:rsid w:val="0073097C"/>
    <w:rsid w:val="007322D9"/>
    <w:rsid w:val="00732BC0"/>
    <w:rsid w:val="0073720F"/>
    <w:rsid w:val="00737796"/>
    <w:rsid w:val="007405D4"/>
    <w:rsid w:val="00740F5E"/>
    <w:rsid w:val="0074165C"/>
    <w:rsid w:val="0074299E"/>
    <w:rsid w:val="00742C35"/>
    <w:rsid w:val="007432CA"/>
    <w:rsid w:val="007439EB"/>
    <w:rsid w:val="00743CB4"/>
    <w:rsid w:val="00743F0A"/>
    <w:rsid w:val="007444E8"/>
    <w:rsid w:val="0074548E"/>
    <w:rsid w:val="00745773"/>
    <w:rsid w:val="00746800"/>
    <w:rsid w:val="007501A8"/>
    <w:rsid w:val="00750D61"/>
    <w:rsid w:val="00750EE1"/>
    <w:rsid w:val="00752B4D"/>
    <w:rsid w:val="00753D0B"/>
    <w:rsid w:val="00753ED7"/>
    <w:rsid w:val="00755402"/>
    <w:rsid w:val="00756B26"/>
    <w:rsid w:val="00756EDF"/>
    <w:rsid w:val="007600E3"/>
    <w:rsid w:val="00765C43"/>
    <w:rsid w:val="00765EFB"/>
    <w:rsid w:val="007671CA"/>
    <w:rsid w:val="007677E6"/>
    <w:rsid w:val="00767C61"/>
    <w:rsid w:val="0077008A"/>
    <w:rsid w:val="00773C1F"/>
    <w:rsid w:val="00773C35"/>
    <w:rsid w:val="00773CF9"/>
    <w:rsid w:val="00774DA4"/>
    <w:rsid w:val="00776599"/>
    <w:rsid w:val="00777541"/>
    <w:rsid w:val="00780E5D"/>
    <w:rsid w:val="00780FE9"/>
    <w:rsid w:val="00780FEC"/>
    <w:rsid w:val="0078114B"/>
    <w:rsid w:val="00781C13"/>
    <w:rsid w:val="00781DD2"/>
    <w:rsid w:val="00782C75"/>
    <w:rsid w:val="00782DC1"/>
    <w:rsid w:val="00783CC2"/>
    <w:rsid w:val="00783ECF"/>
    <w:rsid w:val="0078413A"/>
    <w:rsid w:val="0078675A"/>
    <w:rsid w:val="007927BB"/>
    <w:rsid w:val="007959E8"/>
    <w:rsid w:val="00795E9C"/>
    <w:rsid w:val="00796D52"/>
    <w:rsid w:val="007A0521"/>
    <w:rsid w:val="007A0704"/>
    <w:rsid w:val="007A2E12"/>
    <w:rsid w:val="007A3475"/>
    <w:rsid w:val="007A41C8"/>
    <w:rsid w:val="007A54CE"/>
    <w:rsid w:val="007A5D3A"/>
    <w:rsid w:val="007A5D76"/>
    <w:rsid w:val="007A6069"/>
    <w:rsid w:val="007A67C3"/>
    <w:rsid w:val="007A6955"/>
    <w:rsid w:val="007A6FD9"/>
    <w:rsid w:val="007A7FFA"/>
    <w:rsid w:val="007B012F"/>
    <w:rsid w:val="007B04EB"/>
    <w:rsid w:val="007B0D4F"/>
    <w:rsid w:val="007B521F"/>
    <w:rsid w:val="007B59A0"/>
    <w:rsid w:val="007B5A3D"/>
    <w:rsid w:val="007B5B95"/>
    <w:rsid w:val="007B6032"/>
    <w:rsid w:val="007B68EA"/>
    <w:rsid w:val="007B7453"/>
    <w:rsid w:val="007C2171"/>
    <w:rsid w:val="007C2D2F"/>
    <w:rsid w:val="007C2D89"/>
    <w:rsid w:val="007C40B3"/>
    <w:rsid w:val="007C4593"/>
    <w:rsid w:val="007C4F8D"/>
    <w:rsid w:val="007C5309"/>
    <w:rsid w:val="007C6069"/>
    <w:rsid w:val="007D06C4"/>
    <w:rsid w:val="007D1352"/>
    <w:rsid w:val="007D2508"/>
    <w:rsid w:val="007D346A"/>
    <w:rsid w:val="007D6518"/>
    <w:rsid w:val="007D76BD"/>
    <w:rsid w:val="007E0BC8"/>
    <w:rsid w:val="007E0BF1"/>
    <w:rsid w:val="007E1101"/>
    <w:rsid w:val="007E491F"/>
    <w:rsid w:val="007E50E4"/>
    <w:rsid w:val="007E6458"/>
    <w:rsid w:val="007F0ED8"/>
    <w:rsid w:val="007F0F63"/>
    <w:rsid w:val="007F1BC3"/>
    <w:rsid w:val="007F2583"/>
    <w:rsid w:val="007F39C6"/>
    <w:rsid w:val="007F50AB"/>
    <w:rsid w:val="007F6CDE"/>
    <w:rsid w:val="007F75CE"/>
    <w:rsid w:val="008013A4"/>
    <w:rsid w:val="008027CE"/>
    <w:rsid w:val="00802F42"/>
    <w:rsid w:val="0080432A"/>
    <w:rsid w:val="00804383"/>
    <w:rsid w:val="00804BB7"/>
    <w:rsid w:val="00804D41"/>
    <w:rsid w:val="00805660"/>
    <w:rsid w:val="00810257"/>
    <w:rsid w:val="008104F5"/>
    <w:rsid w:val="00811072"/>
    <w:rsid w:val="00811369"/>
    <w:rsid w:val="00814851"/>
    <w:rsid w:val="00815419"/>
    <w:rsid w:val="008163C8"/>
    <w:rsid w:val="008164A1"/>
    <w:rsid w:val="00817325"/>
    <w:rsid w:val="008209E6"/>
    <w:rsid w:val="00821D19"/>
    <w:rsid w:val="00823303"/>
    <w:rsid w:val="008233B2"/>
    <w:rsid w:val="00823A9F"/>
    <w:rsid w:val="00823C85"/>
    <w:rsid w:val="008246DC"/>
    <w:rsid w:val="00825138"/>
    <w:rsid w:val="008265CF"/>
    <w:rsid w:val="00826837"/>
    <w:rsid w:val="008269DD"/>
    <w:rsid w:val="00827E7A"/>
    <w:rsid w:val="00830621"/>
    <w:rsid w:val="0083348C"/>
    <w:rsid w:val="008373D3"/>
    <w:rsid w:val="00840617"/>
    <w:rsid w:val="00840F84"/>
    <w:rsid w:val="00842A47"/>
    <w:rsid w:val="00843C13"/>
    <w:rsid w:val="00843DEF"/>
    <w:rsid w:val="008454F8"/>
    <w:rsid w:val="00850B65"/>
    <w:rsid w:val="0085173A"/>
    <w:rsid w:val="00851B59"/>
    <w:rsid w:val="008558E6"/>
    <w:rsid w:val="00857718"/>
    <w:rsid w:val="00857E65"/>
    <w:rsid w:val="008603CE"/>
    <w:rsid w:val="008620FC"/>
    <w:rsid w:val="00862206"/>
    <w:rsid w:val="008627A5"/>
    <w:rsid w:val="00863E05"/>
    <w:rsid w:val="00864FB3"/>
    <w:rsid w:val="00865ACA"/>
    <w:rsid w:val="00865D28"/>
    <w:rsid w:val="00865F85"/>
    <w:rsid w:val="0086623F"/>
    <w:rsid w:val="008679F5"/>
    <w:rsid w:val="00867C10"/>
    <w:rsid w:val="00870439"/>
    <w:rsid w:val="00870DA1"/>
    <w:rsid w:val="0087161F"/>
    <w:rsid w:val="00873525"/>
    <w:rsid w:val="008755BF"/>
    <w:rsid w:val="008768E3"/>
    <w:rsid w:val="00877DD6"/>
    <w:rsid w:val="00883F93"/>
    <w:rsid w:val="00884DB3"/>
    <w:rsid w:val="00885A9D"/>
    <w:rsid w:val="008860D5"/>
    <w:rsid w:val="008864F6"/>
    <w:rsid w:val="0089049D"/>
    <w:rsid w:val="008928C9"/>
    <w:rsid w:val="008930CB"/>
    <w:rsid w:val="008938DC"/>
    <w:rsid w:val="00893FD1"/>
    <w:rsid w:val="00894836"/>
    <w:rsid w:val="00894B6F"/>
    <w:rsid w:val="00894B79"/>
    <w:rsid w:val="00895172"/>
    <w:rsid w:val="00895680"/>
    <w:rsid w:val="00896DFF"/>
    <w:rsid w:val="0089762C"/>
    <w:rsid w:val="008A173B"/>
    <w:rsid w:val="008A1893"/>
    <w:rsid w:val="008A570B"/>
    <w:rsid w:val="008A57E6"/>
    <w:rsid w:val="008A6F81"/>
    <w:rsid w:val="008A769A"/>
    <w:rsid w:val="008B0C9C"/>
    <w:rsid w:val="008B0F12"/>
    <w:rsid w:val="008B166D"/>
    <w:rsid w:val="008B17F4"/>
    <w:rsid w:val="008B1A6D"/>
    <w:rsid w:val="008B1B85"/>
    <w:rsid w:val="008B28F8"/>
    <w:rsid w:val="008B3615"/>
    <w:rsid w:val="008B4AC4"/>
    <w:rsid w:val="008B4EBF"/>
    <w:rsid w:val="008B50C8"/>
    <w:rsid w:val="008B5281"/>
    <w:rsid w:val="008B7288"/>
    <w:rsid w:val="008B7E05"/>
    <w:rsid w:val="008C00E5"/>
    <w:rsid w:val="008C1797"/>
    <w:rsid w:val="008C219C"/>
    <w:rsid w:val="008C475E"/>
    <w:rsid w:val="008C619A"/>
    <w:rsid w:val="008C6583"/>
    <w:rsid w:val="008C67E1"/>
    <w:rsid w:val="008C6CA7"/>
    <w:rsid w:val="008C7D58"/>
    <w:rsid w:val="008D0A94"/>
    <w:rsid w:val="008D0CE8"/>
    <w:rsid w:val="008D2D1D"/>
    <w:rsid w:val="008D453D"/>
    <w:rsid w:val="008D53AD"/>
    <w:rsid w:val="008D562B"/>
    <w:rsid w:val="008D5733"/>
    <w:rsid w:val="008D622B"/>
    <w:rsid w:val="008D666C"/>
    <w:rsid w:val="008D76AD"/>
    <w:rsid w:val="008D7B54"/>
    <w:rsid w:val="008E0C9D"/>
    <w:rsid w:val="008E152B"/>
    <w:rsid w:val="008E1648"/>
    <w:rsid w:val="008E1B3E"/>
    <w:rsid w:val="008E1DA5"/>
    <w:rsid w:val="008E2319"/>
    <w:rsid w:val="008E3671"/>
    <w:rsid w:val="008E3DE0"/>
    <w:rsid w:val="008E4BB6"/>
    <w:rsid w:val="008E5518"/>
    <w:rsid w:val="008E6A84"/>
    <w:rsid w:val="008F0CDC"/>
    <w:rsid w:val="008F13E3"/>
    <w:rsid w:val="008F17A3"/>
    <w:rsid w:val="008F1ED3"/>
    <w:rsid w:val="008F48BD"/>
    <w:rsid w:val="008F4C29"/>
    <w:rsid w:val="008F70BD"/>
    <w:rsid w:val="008F788F"/>
    <w:rsid w:val="008F7EA2"/>
    <w:rsid w:val="009020A6"/>
    <w:rsid w:val="00902722"/>
    <w:rsid w:val="009027BC"/>
    <w:rsid w:val="009046F0"/>
    <w:rsid w:val="009062E6"/>
    <w:rsid w:val="00907350"/>
    <w:rsid w:val="00911BE5"/>
    <w:rsid w:val="00913CA9"/>
    <w:rsid w:val="00913FF5"/>
    <w:rsid w:val="009145AE"/>
    <w:rsid w:val="009146CE"/>
    <w:rsid w:val="00914CA7"/>
    <w:rsid w:val="00915C3E"/>
    <w:rsid w:val="009161A8"/>
    <w:rsid w:val="0091632C"/>
    <w:rsid w:val="009163C1"/>
    <w:rsid w:val="0091788E"/>
    <w:rsid w:val="009178B8"/>
    <w:rsid w:val="00920FD3"/>
    <w:rsid w:val="00921024"/>
    <w:rsid w:val="00921A5F"/>
    <w:rsid w:val="00922EC3"/>
    <w:rsid w:val="009243E6"/>
    <w:rsid w:val="009245AE"/>
    <w:rsid w:val="009245F5"/>
    <w:rsid w:val="009249EC"/>
    <w:rsid w:val="009273B3"/>
    <w:rsid w:val="00927570"/>
    <w:rsid w:val="009305B5"/>
    <w:rsid w:val="00931FDF"/>
    <w:rsid w:val="009334B1"/>
    <w:rsid w:val="00933A16"/>
    <w:rsid w:val="00933EC1"/>
    <w:rsid w:val="009378DD"/>
    <w:rsid w:val="009429D5"/>
    <w:rsid w:val="00942BF1"/>
    <w:rsid w:val="009439D6"/>
    <w:rsid w:val="00944A6E"/>
    <w:rsid w:val="00945180"/>
    <w:rsid w:val="00945428"/>
    <w:rsid w:val="00945EE6"/>
    <w:rsid w:val="0094607B"/>
    <w:rsid w:val="00947183"/>
    <w:rsid w:val="00950977"/>
    <w:rsid w:val="00952010"/>
    <w:rsid w:val="00953604"/>
    <w:rsid w:val="00953D65"/>
    <w:rsid w:val="0095496B"/>
    <w:rsid w:val="00954AB5"/>
    <w:rsid w:val="009604B6"/>
    <w:rsid w:val="00960F1E"/>
    <w:rsid w:val="009610DC"/>
    <w:rsid w:val="00961490"/>
    <w:rsid w:val="0096232C"/>
    <w:rsid w:val="0096381A"/>
    <w:rsid w:val="00965E04"/>
    <w:rsid w:val="009674AD"/>
    <w:rsid w:val="00970CDC"/>
    <w:rsid w:val="009740AF"/>
    <w:rsid w:val="00975727"/>
    <w:rsid w:val="00977010"/>
    <w:rsid w:val="00977D02"/>
    <w:rsid w:val="00977FF9"/>
    <w:rsid w:val="009809BB"/>
    <w:rsid w:val="00982368"/>
    <w:rsid w:val="0098364B"/>
    <w:rsid w:val="00983E75"/>
    <w:rsid w:val="00987386"/>
    <w:rsid w:val="009877DF"/>
    <w:rsid w:val="009908A3"/>
    <w:rsid w:val="009911AF"/>
    <w:rsid w:val="00991875"/>
    <w:rsid w:val="00991F92"/>
    <w:rsid w:val="00992985"/>
    <w:rsid w:val="00993889"/>
    <w:rsid w:val="009939E4"/>
    <w:rsid w:val="0099442D"/>
    <w:rsid w:val="009952D2"/>
    <w:rsid w:val="0099551B"/>
    <w:rsid w:val="00996BD2"/>
    <w:rsid w:val="00997BF1"/>
    <w:rsid w:val="009A02C2"/>
    <w:rsid w:val="009A089C"/>
    <w:rsid w:val="009A118E"/>
    <w:rsid w:val="009A21CD"/>
    <w:rsid w:val="009A278C"/>
    <w:rsid w:val="009A2BC2"/>
    <w:rsid w:val="009A42C1"/>
    <w:rsid w:val="009A5429"/>
    <w:rsid w:val="009A5DD4"/>
    <w:rsid w:val="009A72AD"/>
    <w:rsid w:val="009A7CC0"/>
    <w:rsid w:val="009B09E0"/>
    <w:rsid w:val="009B0BC5"/>
    <w:rsid w:val="009B1247"/>
    <w:rsid w:val="009B20B4"/>
    <w:rsid w:val="009B33D9"/>
    <w:rsid w:val="009B522A"/>
    <w:rsid w:val="009B6029"/>
    <w:rsid w:val="009B6971"/>
    <w:rsid w:val="009C0A82"/>
    <w:rsid w:val="009C18AE"/>
    <w:rsid w:val="009C25A7"/>
    <w:rsid w:val="009C27F1"/>
    <w:rsid w:val="009C2D79"/>
    <w:rsid w:val="009C3152"/>
    <w:rsid w:val="009C3257"/>
    <w:rsid w:val="009C45D0"/>
    <w:rsid w:val="009C4CFA"/>
    <w:rsid w:val="009C5070"/>
    <w:rsid w:val="009C54CC"/>
    <w:rsid w:val="009C62ED"/>
    <w:rsid w:val="009D112C"/>
    <w:rsid w:val="009D1385"/>
    <w:rsid w:val="009D423B"/>
    <w:rsid w:val="009D47FA"/>
    <w:rsid w:val="009D4C5B"/>
    <w:rsid w:val="009D50D2"/>
    <w:rsid w:val="009D6428"/>
    <w:rsid w:val="009D66CC"/>
    <w:rsid w:val="009D6BCA"/>
    <w:rsid w:val="009D7348"/>
    <w:rsid w:val="009D7C17"/>
    <w:rsid w:val="009E0F62"/>
    <w:rsid w:val="009E16D8"/>
    <w:rsid w:val="009E39CD"/>
    <w:rsid w:val="009E4A58"/>
    <w:rsid w:val="009E537C"/>
    <w:rsid w:val="009E5A2D"/>
    <w:rsid w:val="009E5AB2"/>
    <w:rsid w:val="009E6219"/>
    <w:rsid w:val="009E6B73"/>
    <w:rsid w:val="009E6DCA"/>
    <w:rsid w:val="009F03B3"/>
    <w:rsid w:val="009F0D9D"/>
    <w:rsid w:val="009F2269"/>
    <w:rsid w:val="009F7CBD"/>
    <w:rsid w:val="00A0096C"/>
    <w:rsid w:val="00A01757"/>
    <w:rsid w:val="00A028C0"/>
    <w:rsid w:val="00A02BAE"/>
    <w:rsid w:val="00A06A6B"/>
    <w:rsid w:val="00A075ED"/>
    <w:rsid w:val="00A07E47"/>
    <w:rsid w:val="00A11E0E"/>
    <w:rsid w:val="00A12409"/>
    <w:rsid w:val="00A12974"/>
    <w:rsid w:val="00A129D0"/>
    <w:rsid w:val="00A12C33"/>
    <w:rsid w:val="00A138BA"/>
    <w:rsid w:val="00A14317"/>
    <w:rsid w:val="00A14C8E"/>
    <w:rsid w:val="00A153D9"/>
    <w:rsid w:val="00A15F09"/>
    <w:rsid w:val="00A169B6"/>
    <w:rsid w:val="00A2271D"/>
    <w:rsid w:val="00A237D5"/>
    <w:rsid w:val="00A307BA"/>
    <w:rsid w:val="00A30EFC"/>
    <w:rsid w:val="00A31984"/>
    <w:rsid w:val="00A32D73"/>
    <w:rsid w:val="00A3367B"/>
    <w:rsid w:val="00A3376F"/>
    <w:rsid w:val="00A33C67"/>
    <w:rsid w:val="00A3597D"/>
    <w:rsid w:val="00A36439"/>
    <w:rsid w:val="00A36DD1"/>
    <w:rsid w:val="00A371DB"/>
    <w:rsid w:val="00A4006C"/>
    <w:rsid w:val="00A40091"/>
    <w:rsid w:val="00A4030F"/>
    <w:rsid w:val="00A41C79"/>
    <w:rsid w:val="00A41CB5"/>
    <w:rsid w:val="00A42CDF"/>
    <w:rsid w:val="00A4452E"/>
    <w:rsid w:val="00A4472C"/>
    <w:rsid w:val="00A44E69"/>
    <w:rsid w:val="00A4523C"/>
    <w:rsid w:val="00A457B1"/>
    <w:rsid w:val="00A46240"/>
    <w:rsid w:val="00A465E2"/>
    <w:rsid w:val="00A4661E"/>
    <w:rsid w:val="00A51C58"/>
    <w:rsid w:val="00A54F91"/>
    <w:rsid w:val="00A55BD6"/>
    <w:rsid w:val="00A55D50"/>
    <w:rsid w:val="00A57142"/>
    <w:rsid w:val="00A63C8F"/>
    <w:rsid w:val="00A648CD"/>
    <w:rsid w:val="00A6513A"/>
    <w:rsid w:val="00A6537A"/>
    <w:rsid w:val="00A67866"/>
    <w:rsid w:val="00A70B07"/>
    <w:rsid w:val="00A71D11"/>
    <w:rsid w:val="00A723F8"/>
    <w:rsid w:val="00A725E0"/>
    <w:rsid w:val="00A72BF1"/>
    <w:rsid w:val="00A77CCB"/>
    <w:rsid w:val="00A80697"/>
    <w:rsid w:val="00A83CD9"/>
    <w:rsid w:val="00A83D8D"/>
    <w:rsid w:val="00A8446B"/>
    <w:rsid w:val="00A8473F"/>
    <w:rsid w:val="00A862D6"/>
    <w:rsid w:val="00A86D3A"/>
    <w:rsid w:val="00A8715E"/>
    <w:rsid w:val="00A9295B"/>
    <w:rsid w:val="00A934E8"/>
    <w:rsid w:val="00A93B09"/>
    <w:rsid w:val="00A93DCC"/>
    <w:rsid w:val="00A952D7"/>
    <w:rsid w:val="00A95334"/>
    <w:rsid w:val="00A963F7"/>
    <w:rsid w:val="00A96AD8"/>
    <w:rsid w:val="00AA0188"/>
    <w:rsid w:val="00AA052C"/>
    <w:rsid w:val="00AA1006"/>
    <w:rsid w:val="00AA1E45"/>
    <w:rsid w:val="00AA4286"/>
    <w:rsid w:val="00AA456B"/>
    <w:rsid w:val="00AA4E5F"/>
    <w:rsid w:val="00AA57F5"/>
    <w:rsid w:val="00AA672E"/>
    <w:rsid w:val="00AA6D52"/>
    <w:rsid w:val="00AA6EC9"/>
    <w:rsid w:val="00AB0C67"/>
    <w:rsid w:val="00AB2191"/>
    <w:rsid w:val="00AB4DD2"/>
    <w:rsid w:val="00AB608E"/>
    <w:rsid w:val="00AB6309"/>
    <w:rsid w:val="00AB6B7B"/>
    <w:rsid w:val="00AB6C08"/>
    <w:rsid w:val="00AB6C5F"/>
    <w:rsid w:val="00AB7129"/>
    <w:rsid w:val="00AB7818"/>
    <w:rsid w:val="00AC27A6"/>
    <w:rsid w:val="00AC30F7"/>
    <w:rsid w:val="00AC354E"/>
    <w:rsid w:val="00AC3A5A"/>
    <w:rsid w:val="00AC4707"/>
    <w:rsid w:val="00AC4D95"/>
    <w:rsid w:val="00AC5DF4"/>
    <w:rsid w:val="00AC6D31"/>
    <w:rsid w:val="00AC70FA"/>
    <w:rsid w:val="00AC7DEC"/>
    <w:rsid w:val="00AD0844"/>
    <w:rsid w:val="00AD08F0"/>
    <w:rsid w:val="00AD0AEF"/>
    <w:rsid w:val="00AD0C7C"/>
    <w:rsid w:val="00AD11B7"/>
    <w:rsid w:val="00AD1A94"/>
    <w:rsid w:val="00AD1C05"/>
    <w:rsid w:val="00AD4126"/>
    <w:rsid w:val="00AD421C"/>
    <w:rsid w:val="00AD44FA"/>
    <w:rsid w:val="00AD4DC8"/>
    <w:rsid w:val="00AD782D"/>
    <w:rsid w:val="00AD7D0C"/>
    <w:rsid w:val="00AE070A"/>
    <w:rsid w:val="00AE101C"/>
    <w:rsid w:val="00AE223D"/>
    <w:rsid w:val="00AE2A69"/>
    <w:rsid w:val="00AE37E5"/>
    <w:rsid w:val="00AE5EB4"/>
    <w:rsid w:val="00AE7F6F"/>
    <w:rsid w:val="00AF0C18"/>
    <w:rsid w:val="00AF47C5"/>
    <w:rsid w:val="00AF5398"/>
    <w:rsid w:val="00AF724D"/>
    <w:rsid w:val="00B001FD"/>
    <w:rsid w:val="00B02841"/>
    <w:rsid w:val="00B02E39"/>
    <w:rsid w:val="00B04211"/>
    <w:rsid w:val="00B049AF"/>
    <w:rsid w:val="00B05498"/>
    <w:rsid w:val="00B07242"/>
    <w:rsid w:val="00B10534"/>
    <w:rsid w:val="00B11066"/>
    <w:rsid w:val="00B113DB"/>
    <w:rsid w:val="00B11D8A"/>
    <w:rsid w:val="00B12981"/>
    <w:rsid w:val="00B12B98"/>
    <w:rsid w:val="00B147DD"/>
    <w:rsid w:val="00B156FD"/>
    <w:rsid w:val="00B21DDD"/>
    <w:rsid w:val="00B21F61"/>
    <w:rsid w:val="00B261F1"/>
    <w:rsid w:val="00B265BC"/>
    <w:rsid w:val="00B27005"/>
    <w:rsid w:val="00B30735"/>
    <w:rsid w:val="00B31FB1"/>
    <w:rsid w:val="00B32932"/>
    <w:rsid w:val="00B33952"/>
    <w:rsid w:val="00B33C5E"/>
    <w:rsid w:val="00B342F4"/>
    <w:rsid w:val="00B34369"/>
    <w:rsid w:val="00B34DC2"/>
    <w:rsid w:val="00B355AD"/>
    <w:rsid w:val="00B35634"/>
    <w:rsid w:val="00B37469"/>
    <w:rsid w:val="00B378E5"/>
    <w:rsid w:val="00B41FAC"/>
    <w:rsid w:val="00B4346D"/>
    <w:rsid w:val="00B437CA"/>
    <w:rsid w:val="00B440F4"/>
    <w:rsid w:val="00B447A5"/>
    <w:rsid w:val="00B44E0D"/>
    <w:rsid w:val="00B4654C"/>
    <w:rsid w:val="00B467A7"/>
    <w:rsid w:val="00B46B9B"/>
    <w:rsid w:val="00B46C2F"/>
    <w:rsid w:val="00B47293"/>
    <w:rsid w:val="00B47D00"/>
    <w:rsid w:val="00B50121"/>
    <w:rsid w:val="00B50E50"/>
    <w:rsid w:val="00B513F4"/>
    <w:rsid w:val="00B5206D"/>
    <w:rsid w:val="00B52120"/>
    <w:rsid w:val="00B5304D"/>
    <w:rsid w:val="00B54ABC"/>
    <w:rsid w:val="00B55FED"/>
    <w:rsid w:val="00B56933"/>
    <w:rsid w:val="00B56FBE"/>
    <w:rsid w:val="00B60ACF"/>
    <w:rsid w:val="00B613A4"/>
    <w:rsid w:val="00B61C6B"/>
    <w:rsid w:val="00B62B58"/>
    <w:rsid w:val="00B65149"/>
    <w:rsid w:val="00B66567"/>
    <w:rsid w:val="00B6689B"/>
    <w:rsid w:val="00B66A87"/>
    <w:rsid w:val="00B66F52"/>
    <w:rsid w:val="00B66FE5"/>
    <w:rsid w:val="00B677C2"/>
    <w:rsid w:val="00B71019"/>
    <w:rsid w:val="00B72880"/>
    <w:rsid w:val="00B743E5"/>
    <w:rsid w:val="00B758BF"/>
    <w:rsid w:val="00B76365"/>
    <w:rsid w:val="00B77EC8"/>
    <w:rsid w:val="00B80665"/>
    <w:rsid w:val="00B81CC2"/>
    <w:rsid w:val="00B827A6"/>
    <w:rsid w:val="00B831CE"/>
    <w:rsid w:val="00B83A26"/>
    <w:rsid w:val="00B86677"/>
    <w:rsid w:val="00B87131"/>
    <w:rsid w:val="00B90825"/>
    <w:rsid w:val="00B91BB5"/>
    <w:rsid w:val="00B939B1"/>
    <w:rsid w:val="00B942F8"/>
    <w:rsid w:val="00B94AC8"/>
    <w:rsid w:val="00B96D40"/>
    <w:rsid w:val="00B97386"/>
    <w:rsid w:val="00BA263B"/>
    <w:rsid w:val="00BA2CA3"/>
    <w:rsid w:val="00BA3D5D"/>
    <w:rsid w:val="00BA3DBC"/>
    <w:rsid w:val="00BA42B2"/>
    <w:rsid w:val="00BA58D4"/>
    <w:rsid w:val="00BA5B9E"/>
    <w:rsid w:val="00BA7C9A"/>
    <w:rsid w:val="00BB1884"/>
    <w:rsid w:val="00BB36BE"/>
    <w:rsid w:val="00BB5B35"/>
    <w:rsid w:val="00BB5F8F"/>
    <w:rsid w:val="00BB657A"/>
    <w:rsid w:val="00BC1227"/>
    <w:rsid w:val="00BC1A4E"/>
    <w:rsid w:val="00BC5DC7"/>
    <w:rsid w:val="00BC6B8B"/>
    <w:rsid w:val="00BC73D8"/>
    <w:rsid w:val="00BD52D7"/>
    <w:rsid w:val="00BD5917"/>
    <w:rsid w:val="00BD5AD2"/>
    <w:rsid w:val="00BD69FB"/>
    <w:rsid w:val="00BE130C"/>
    <w:rsid w:val="00BE22F3"/>
    <w:rsid w:val="00BE5B52"/>
    <w:rsid w:val="00BE6A69"/>
    <w:rsid w:val="00BE7B8D"/>
    <w:rsid w:val="00BF0993"/>
    <w:rsid w:val="00BF10A9"/>
    <w:rsid w:val="00BF1703"/>
    <w:rsid w:val="00BF231C"/>
    <w:rsid w:val="00BF35AE"/>
    <w:rsid w:val="00BF3BF2"/>
    <w:rsid w:val="00BF51E5"/>
    <w:rsid w:val="00BF618F"/>
    <w:rsid w:val="00BF662E"/>
    <w:rsid w:val="00BF74A6"/>
    <w:rsid w:val="00C013AD"/>
    <w:rsid w:val="00C03896"/>
    <w:rsid w:val="00C04904"/>
    <w:rsid w:val="00C04E15"/>
    <w:rsid w:val="00C056B3"/>
    <w:rsid w:val="00C07729"/>
    <w:rsid w:val="00C07EC5"/>
    <w:rsid w:val="00C103E5"/>
    <w:rsid w:val="00C10CD9"/>
    <w:rsid w:val="00C13319"/>
    <w:rsid w:val="00C13EC6"/>
    <w:rsid w:val="00C13EE9"/>
    <w:rsid w:val="00C14F26"/>
    <w:rsid w:val="00C15BDB"/>
    <w:rsid w:val="00C16346"/>
    <w:rsid w:val="00C20AFE"/>
    <w:rsid w:val="00C21540"/>
    <w:rsid w:val="00C21906"/>
    <w:rsid w:val="00C21BFA"/>
    <w:rsid w:val="00C21ECB"/>
    <w:rsid w:val="00C24667"/>
    <w:rsid w:val="00C24C8D"/>
    <w:rsid w:val="00C25A89"/>
    <w:rsid w:val="00C25FE2"/>
    <w:rsid w:val="00C26B53"/>
    <w:rsid w:val="00C279B2"/>
    <w:rsid w:val="00C31376"/>
    <w:rsid w:val="00C33631"/>
    <w:rsid w:val="00C33813"/>
    <w:rsid w:val="00C33E50"/>
    <w:rsid w:val="00C34C20"/>
    <w:rsid w:val="00C35A3E"/>
    <w:rsid w:val="00C36EE1"/>
    <w:rsid w:val="00C3701D"/>
    <w:rsid w:val="00C42130"/>
    <w:rsid w:val="00C423A4"/>
    <w:rsid w:val="00C423E3"/>
    <w:rsid w:val="00C43AFB"/>
    <w:rsid w:val="00C44BF5"/>
    <w:rsid w:val="00C45DCD"/>
    <w:rsid w:val="00C521D6"/>
    <w:rsid w:val="00C55232"/>
    <w:rsid w:val="00C553A4"/>
    <w:rsid w:val="00C55A06"/>
    <w:rsid w:val="00C55D03"/>
    <w:rsid w:val="00C601BC"/>
    <w:rsid w:val="00C60840"/>
    <w:rsid w:val="00C60C2B"/>
    <w:rsid w:val="00C61362"/>
    <w:rsid w:val="00C61D9A"/>
    <w:rsid w:val="00C6329F"/>
    <w:rsid w:val="00C63340"/>
    <w:rsid w:val="00C643F9"/>
    <w:rsid w:val="00C64E95"/>
    <w:rsid w:val="00C678E0"/>
    <w:rsid w:val="00C71372"/>
    <w:rsid w:val="00C72410"/>
    <w:rsid w:val="00C7242F"/>
    <w:rsid w:val="00C7287F"/>
    <w:rsid w:val="00C72A01"/>
    <w:rsid w:val="00C73AE4"/>
    <w:rsid w:val="00C7439F"/>
    <w:rsid w:val="00C75D2D"/>
    <w:rsid w:val="00C8045C"/>
    <w:rsid w:val="00C80CB8"/>
    <w:rsid w:val="00C819F8"/>
    <w:rsid w:val="00C822C1"/>
    <w:rsid w:val="00C8248C"/>
    <w:rsid w:val="00C82B8E"/>
    <w:rsid w:val="00C83FC2"/>
    <w:rsid w:val="00C84E33"/>
    <w:rsid w:val="00C86D6F"/>
    <w:rsid w:val="00C905FC"/>
    <w:rsid w:val="00C92D03"/>
    <w:rsid w:val="00C930D0"/>
    <w:rsid w:val="00C9319C"/>
    <w:rsid w:val="00C9435D"/>
    <w:rsid w:val="00C94DF2"/>
    <w:rsid w:val="00C94E86"/>
    <w:rsid w:val="00C955AD"/>
    <w:rsid w:val="00C96741"/>
    <w:rsid w:val="00C96866"/>
    <w:rsid w:val="00CA2D1B"/>
    <w:rsid w:val="00CA375D"/>
    <w:rsid w:val="00CA48D5"/>
    <w:rsid w:val="00CA662A"/>
    <w:rsid w:val="00CA6E88"/>
    <w:rsid w:val="00CA7AFD"/>
    <w:rsid w:val="00CA7C3C"/>
    <w:rsid w:val="00CB0189"/>
    <w:rsid w:val="00CB0BA2"/>
    <w:rsid w:val="00CB1A42"/>
    <w:rsid w:val="00CB1B0C"/>
    <w:rsid w:val="00CB2C0B"/>
    <w:rsid w:val="00CB517D"/>
    <w:rsid w:val="00CC038D"/>
    <w:rsid w:val="00CC08DB"/>
    <w:rsid w:val="00CC13A8"/>
    <w:rsid w:val="00CC1E44"/>
    <w:rsid w:val="00CC39FF"/>
    <w:rsid w:val="00CC3C2F"/>
    <w:rsid w:val="00CC44F2"/>
    <w:rsid w:val="00CC4AC8"/>
    <w:rsid w:val="00CC5233"/>
    <w:rsid w:val="00CC5DE6"/>
    <w:rsid w:val="00CC6E4E"/>
    <w:rsid w:val="00CC6FE8"/>
    <w:rsid w:val="00CC7202"/>
    <w:rsid w:val="00CD0DEA"/>
    <w:rsid w:val="00CD0E0A"/>
    <w:rsid w:val="00CD27C6"/>
    <w:rsid w:val="00CD2808"/>
    <w:rsid w:val="00CD28BF"/>
    <w:rsid w:val="00CD3206"/>
    <w:rsid w:val="00CD3547"/>
    <w:rsid w:val="00CD4092"/>
    <w:rsid w:val="00CD4A20"/>
    <w:rsid w:val="00CD50A1"/>
    <w:rsid w:val="00CD519E"/>
    <w:rsid w:val="00CD700C"/>
    <w:rsid w:val="00CE0C4F"/>
    <w:rsid w:val="00CE193E"/>
    <w:rsid w:val="00CE30EA"/>
    <w:rsid w:val="00CE528D"/>
    <w:rsid w:val="00CE5440"/>
    <w:rsid w:val="00CE5F12"/>
    <w:rsid w:val="00CE68C0"/>
    <w:rsid w:val="00CE6B09"/>
    <w:rsid w:val="00CE7D6D"/>
    <w:rsid w:val="00CF048A"/>
    <w:rsid w:val="00CF155A"/>
    <w:rsid w:val="00CF1837"/>
    <w:rsid w:val="00CF1BC5"/>
    <w:rsid w:val="00CF2947"/>
    <w:rsid w:val="00CF5892"/>
    <w:rsid w:val="00CF5DCC"/>
    <w:rsid w:val="00CF686F"/>
    <w:rsid w:val="00CF6AEC"/>
    <w:rsid w:val="00CF6B29"/>
    <w:rsid w:val="00CF6E60"/>
    <w:rsid w:val="00CF7353"/>
    <w:rsid w:val="00CF7BCA"/>
    <w:rsid w:val="00CF7C9B"/>
    <w:rsid w:val="00CF7E75"/>
    <w:rsid w:val="00D008FD"/>
    <w:rsid w:val="00D02683"/>
    <w:rsid w:val="00D0302D"/>
    <w:rsid w:val="00D0321C"/>
    <w:rsid w:val="00D035EC"/>
    <w:rsid w:val="00D04B60"/>
    <w:rsid w:val="00D05554"/>
    <w:rsid w:val="00D0638B"/>
    <w:rsid w:val="00D06AB1"/>
    <w:rsid w:val="00D06FC1"/>
    <w:rsid w:val="00D072ED"/>
    <w:rsid w:val="00D07A16"/>
    <w:rsid w:val="00D1067E"/>
    <w:rsid w:val="00D10F50"/>
    <w:rsid w:val="00D11272"/>
    <w:rsid w:val="00D126F5"/>
    <w:rsid w:val="00D1489E"/>
    <w:rsid w:val="00D20659"/>
    <w:rsid w:val="00D2065F"/>
    <w:rsid w:val="00D20737"/>
    <w:rsid w:val="00D21E81"/>
    <w:rsid w:val="00D223DE"/>
    <w:rsid w:val="00D25E37"/>
    <w:rsid w:val="00D2661A"/>
    <w:rsid w:val="00D27582"/>
    <w:rsid w:val="00D27EC4"/>
    <w:rsid w:val="00D27F6D"/>
    <w:rsid w:val="00D30ADA"/>
    <w:rsid w:val="00D32719"/>
    <w:rsid w:val="00D33333"/>
    <w:rsid w:val="00D352A2"/>
    <w:rsid w:val="00D37203"/>
    <w:rsid w:val="00D4162B"/>
    <w:rsid w:val="00D4514F"/>
    <w:rsid w:val="00D451E2"/>
    <w:rsid w:val="00D452AF"/>
    <w:rsid w:val="00D45ABA"/>
    <w:rsid w:val="00D45E89"/>
    <w:rsid w:val="00D45E8D"/>
    <w:rsid w:val="00D465BA"/>
    <w:rsid w:val="00D466AE"/>
    <w:rsid w:val="00D4734F"/>
    <w:rsid w:val="00D51BF3"/>
    <w:rsid w:val="00D52D35"/>
    <w:rsid w:val="00D535D4"/>
    <w:rsid w:val="00D540F0"/>
    <w:rsid w:val="00D55202"/>
    <w:rsid w:val="00D6145F"/>
    <w:rsid w:val="00D63166"/>
    <w:rsid w:val="00D66846"/>
    <w:rsid w:val="00D675FB"/>
    <w:rsid w:val="00D67E7B"/>
    <w:rsid w:val="00D71DC7"/>
    <w:rsid w:val="00D71F25"/>
    <w:rsid w:val="00D72A9C"/>
    <w:rsid w:val="00D77031"/>
    <w:rsid w:val="00D819D2"/>
    <w:rsid w:val="00D822C1"/>
    <w:rsid w:val="00D84941"/>
    <w:rsid w:val="00D84FA1"/>
    <w:rsid w:val="00D851F0"/>
    <w:rsid w:val="00D866CF"/>
    <w:rsid w:val="00D86DB7"/>
    <w:rsid w:val="00D87BF5"/>
    <w:rsid w:val="00D9064F"/>
    <w:rsid w:val="00D90721"/>
    <w:rsid w:val="00D9174A"/>
    <w:rsid w:val="00D926D0"/>
    <w:rsid w:val="00D93030"/>
    <w:rsid w:val="00D93D57"/>
    <w:rsid w:val="00D950E1"/>
    <w:rsid w:val="00D952A6"/>
    <w:rsid w:val="00D9676A"/>
    <w:rsid w:val="00D97F99"/>
    <w:rsid w:val="00DA0ECA"/>
    <w:rsid w:val="00DA1E08"/>
    <w:rsid w:val="00DA248F"/>
    <w:rsid w:val="00DA24F8"/>
    <w:rsid w:val="00DA28E8"/>
    <w:rsid w:val="00DA38D3"/>
    <w:rsid w:val="00DA3932"/>
    <w:rsid w:val="00DA3AFC"/>
    <w:rsid w:val="00DA55BF"/>
    <w:rsid w:val="00DA64F8"/>
    <w:rsid w:val="00DA6C15"/>
    <w:rsid w:val="00DB0258"/>
    <w:rsid w:val="00DB1195"/>
    <w:rsid w:val="00DB1668"/>
    <w:rsid w:val="00DB364B"/>
    <w:rsid w:val="00DB38EE"/>
    <w:rsid w:val="00DB498B"/>
    <w:rsid w:val="00DB50F0"/>
    <w:rsid w:val="00DB66CA"/>
    <w:rsid w:val="00DB6BCA"/>
    <w:rsid w:val="00DB6F54"/>
    <w:rsid w:val="00DB73F7"/>
    <w:rsid w:val="00DB7D67"/>
    <w:rsid w:val="00DC0321"/>
    <w:rsid w:val="00DC3067"/>
    <w:rsid w:val="00DC370B"/>
    <w:rsid w:val="00DC39D5"/>
    <w:rsid w:val="00DC53E5"/>
    <w:rsid w:val="00DC5B90"/>
    <w:rsid w:val="00DD00FF"/>
    <w:rsid w:val="00DD0619"/>
    <w:rsid w:val="00DD07FB"/>
    <w:rsid w:val="00DD25C6"/>
    <w:rsid w:val="00DD4FE5"/>
    <w:rsid w:val="00DD54B0"/>
    <w:rsid w:val="00DD57EE"/>
    <w:rsid w:val="00DD6521"/>
    <w:rsid w:val="00DD6BCC"/>
    <w:rsid w:val="00DE037D"/>
    <w:rsid w:val="00DE0A4B"/>
    <w:rsid w:val="00DE2410"/>
    <w:rsid w:val="00DE2939"/>
    <w:rsid w:val="00DE444D"/>
    <w:rsid w:val="00DE6E81"/>
    <w:rsid w:val="00DE6FC3"/>
    <w:rsid w:val="00DE703F"/>
    <w:rsid w:val="00DE7150"/>
    <w:rsid w:val="00DE7595"/>
    <w:rsid w:val="00DF1961"/>
    <w:rsid w:val="00DF3E65"/>
    <w:rsid w:val="00DF4400"/>
    <w:rsid w:val="00DF44DE"/>
    <w:rsid w:val="00DF6185"/>
    <w:rsid w:val="00DF6AED"/>
    <w:rsid w:val="00DF79E9"/>
    <w:rsid w:val="00E01138"/>
    <w:rsid w:val="00E020B1"/>
    <w:rsid w:val="00E02DFB"/>
    <w:rsid w:val="00E030F9"/>
    <w:rsid w:val="00E0311A"/>
    <w:rsid w:val="00E03138"/>
    <w:rsid w:val="00E06404"/>
    <w:rsid w:val="00E0702D"/>
    <w:rsid w:val="00E11A85"/>
    <w:rsid w:val="00E12495"/>
    <w:rsid w:val="00E12970"/>
    <w:rsid w:val="00E13FFB"/>
    <w:rsid w:val="00E1424C"/>
    <w:rsid w:val="00E15CCD"/>
    <w:rsid w:val="00E170FA"/>
    <w:rsid w:val="00E202EF"/>
    <w:rsid w:val="00E210B5"/>
    <w:rsid w:val="00E2552F"/>
    <w:rsid w:val="00E25BC8"/>
    <w:rsid w:val="00E30F55"/>
    <w:rsid w:val="00E3137A"/>
    <w:rsid w:val="00E322FF"/>
    <w:rsid w:val="00E32CCF"/>
    <w:rsid w:val="00E34A98"/>
    <w:rsid w:val="00E35D1E"/>
    <w:rsid w:val="00E364F9"/>
    <w:rsid w:val="00E365FA"/>
    <w:rsid w:val="00E36789"/>
    <w:rsid w:val="00E36E9E"/>
    <w:rsid w:val="00E4037E"/>
    <w:rsid w:val="00E41BBB"/>
    <w:rsid w:val="00E44A83"/>
    <w:rsid w:val="00E502C1"/>
    <w:rsid w:val="00E502DD"/>
    <w:rsid w:val="00E50389"/>
    <w:rsid w:val="00E50D3A"/>
    <w:rsid w:val="00E51329"/>
    <w:rsid w:val="00E51387"/>
    <w:rsid w:val="00E51E68"/>
    <w:rsid w:val="00E52EFD"/>
    <w:rsid w:val="00E5394E"/>
    <w:rsid w:val="00E5408A"/>
    <w:rsid w:val="00E56800"/>
    <w:rsid w:val="00E57B25"/>
    <w:rsid w:val="00E60B9B"/>
    <w:rsid w:val="00E60C63"/>
    <w:rsid w:val="00E62BD7"/>
    <w:rsid w:val="00E62FF9"/>
    <w:rsid w:val="00E635D6"/>
    <w:rsid w:val="00E6385C"/>
    <w:rsid w:val="00E639BC"/>
    <w:rsid w:val="00E644A0"/>
    <w:rsid w:val="00E64C43"/>
    <w:rsid w:val="00E664CC"/>
    <w:rsid w:val="00E70388"/>
    <w:rsid w:val="00E70F92"/>
    <w:rsid w:val="00E74313"/>
    <w:rsid w:val="00E74512"/>
    <w:rsid w:val="00E74C54"/>
    <w:rsid w:val="00E77A03"/>
    <w:rsid w:val="00E822E8"/>
    <w:rsid w:val="00E82554"/>
    <w:rsid w:val="00E82606"/>
    <w:rsid w:val="00E831C1"/>
    <w:rsid w:val="00E83A54"/>
    <w:rsid w:val="00E846C8"/>
    <w:rsid w:val="00E84957"/>
    <w:rsid w:val="00E84A55"/>
    <w:rsid w:val="00E85BFF"/>
    <w:rsid w:val="00E8604C"/>
    <w:rsid w:val="00E87968"/>
    <w:rsid w:val="00E902AB"/>
    <w:rsid w:val="00E90391"/>
    <w:rsid w:val="00E906C2"/>
    <w:rsid w:val="00E9311F"/>
    <w:rsid w:val="00E93352"/>
    <w:rsid w:val="00E934D1"/>
    <w:rsid w:val="00E94AF0"/>
    <w:rsid w:val="00E953AE"/>
    <w:rsid w:val="00E95D13"/>
    <w:rsid w:val="00E95DD3"/>
    <w:rsid w:val="00E969D5"/>
    <w:rsid w:val="00E96B0B"/>
    <w:rsid w:val="00E96FAD"/>
    <w:rsid w:val="00EA58D1"/>
    <w:rsid w:val="00EA61BC"/>
    <w:rsid w:val="00EA626F"/>
    <w:rsid w:val="00EA681A"/>
    <w:rsid w:val="00EA735B"/>
    <w:rsid w:val="00EB174F"/>
    <w:rsid w:val="00EB1E69"/>
    <w:rsid w:val="00EB2086"/>
    <w:rsid w:val="00EB31ED"/>
    <w:rsid w:val="00EB37D9"/>
    <w:rsid w:val="00EB5EDF"/>
    <w:rsid w:val="00EB60FE"/>
    <w:rsid w:val="00EB74DB"/>
    <w:rsid w:val="00EB765C"/>
    <w:rsid w:val="00EC1C51"/>
    <w:rsid w:val="00EC1E4F"/>
    <w:rsid w:val="00EC324F"/>
    <w:rsid w:val="00EC37EB"/>
    <w:rsid w:val="00EC4346"/>
    <w:rsid w:val="00EC5359"/>
    <w:rsid w:val="00EC562A"/>
    <w:rsid w:val="00EC664C"/>
    <w:rsid w:val="00ED067A"/>
    <w:rsid w:val="00ED0ACC"/>
    <w:rsid w:val="00ED0C79"/>
    <w:rsid w:val="00ED0DF6"/>
    <w:rsid w:val="00ED2B50"/>
    <w:rsid w:val="00ED3D62"/>
    <w:rsid w:val="00ED542F"/>
    <w:rsid w:val="00ED6063"/>
    <w:rsid w:val="00EE0350"/>
    <w:rsid w:val="00EE037E"/>
    <w:rsid w:val="00EE0719"/>
    <w:rsid w:val="00EE0E80"/>
    <w:rsid w:val="00EE58E0"/>
    <w:rsid w:val="00EE613F"/>
    <w:rsid w:val="00EE6C15"/>
    <w:rsid w:val="00EE7295"/>
    <w:rsid w:val="00EE7869"/>
    <w:rsid w:val="00EF0459"/>
    <w:rsid w:val="00EF054A"/>
    <w:rsid w:val="00EF3221"/>
    <w:rsid w:val="00EF3235"/>
    <w:rsid w:val="00EF33F6"/>
    <w:rsid w:val="00EF3E7B"/>
    <w:rsid w:val="00EF663D"/>
    <w:rsid w:val="00EF7145"/>
    <w:rsid w:val="00EF7E72"/>
    <w:rsid w:val="00F0144A"/>
    <w:rsid w:val="00F03EC4"/>
    <w:rsid w:val="00F06D37"/>
    <w:rsid w:val="00F07B9D"/>
    <w:rsid w:val="00F104C9"/>
    <w:rsid w:val="00F11586"/>
    <w:rsid w:val="00F1183B"/>
    <w:rsid w:val="00F11980"/>
    <w:rsid w:val="00F11C9F"/>
    <w:rsid w:val="00F12263"/>
    <w:rsid w:val="00F1409D"/>
    <w:rsid w:val="00F14214"/>
    <w:rsid w:val="00F157A9"/>
    <w:rsid w:val="00F16F00"/>
    <w:rsid w:val="00F1755E"/>
    <w:rsid w:val="00F20F7A"/>
    <w:rsid w:val="00F25BB6"/>
    <w:rsid w:val="00F26B7E"/>
    <w:rsid w:val="00F27A3B"/>
    <w:rsid w:val="00F31938"/>
    <w:rsid w:val="00F31F1D"/>
    <w:rsid w:val="00F32780"/>
    <w:rsid w:val="00F337DB"/>
    <w:rsid w:val="00F33817"/>
    <w:rsid w:val="00F35D38"/>
    <w:rsid w:val="00F364B3"/>
    <w:rsid w:val="00F37A15"/>
    <w:rsid w:val="00F410DD"/>
    <w:rsid w:val="00F420D5"/>
    <w:rsid w:val="00F43EFC"/>
    <w:rsid w:val="00F44764"/>
    <w:rsid w:val="00F451EA"/>
    <w:rsid w:val="00F45447"/>
    <w:rsid w:val="00F456C6"/>
    <w:rsid w:val="00F4577B"/>
    <w:rsid w:val="00F46496"/>
    <w:rsid w:val="00F46F98"/>
    <w:rsid w:val="00F472D0"/>
    <w:rsid w:val="00F474D0"/>
    <w:rsid w:val="00F47ED8"/>
    <w:rsid w:val="00F50179"/>
    <w:rsid w:val="00F51501"/>
    <w:rsid w:val="00F515EE"/>
    <w:rsid w:val="00F56511"/>
    <w:rsid w:val="00F60C0C"/>
    <w:rsid w:val="00F6194E"/>
    <w:rsid w:val="00F623AC"/>
    <w:rsid w:val="00F63F27"/>
    <w:rsid w:val="00F6412A"/>
    <w:rsid w:val="00F65219"/>
    <w:rsid w:val="00F65893"/>
    <w:rsid w:val="00F6695C"/>
    <w:rsid w:val="00F66A4A"/>
    <w:rsid w:val="00F67D06"/>
    <w:rsid w:val="00F701AA"/>
    <w:rsid w:val="00F71E22"/>
    <w:rsid w:val="00F72142"/>
    <w:rsid w:val="00F72AE7"/>
    <w:rsid w:val="00F814E8"/>
    <w:rsid w:val="00F816EC"/>
    <w:rsid w:val="00F833BA"/>
    <w:rsid w:val="00F84FD0"/>
    <w:rsid w:val="00F859A8"/>
    <w:rsid w:val="00F86D87"/>
    <w:rsid w:val="00F9108B"/>
    <w:rsid w:val="00F91349"/>
    <w:rsid w:val="00F93A8A"/>
    <w:rsid w:val="00F95248"/>
    <w:rsid w:val="00F956A9"/>
    <w:rsid w:val="00F963ED"/>
    <w:rsid w:val="00F966CF"/>
    <w:rsid w:val="00F9678D"/>
    <w:rsid w:val="00F96CAE"/>
    <w:rsid w:val="00F97715"/>
    <w:rsid w:val="00F97C99"/>
    <w:rsid w:val="00FA4584"/>
    <w:rsid w:val="00FA5DC5"/>
    <w:rsid w:val="00FA662D"/>
    <w:rsid w:val="00FA6B49"/>
    <w:rsid w:val="00FA73B1"/>
    <w:rsid w:val="00FB0CB9"/>
    <w:rsid w:val="00FB11E9"/>
    <w:rsid w:val="00FB18E1"/>
    <w:rsid w:val="00FB231D"/>
    <w:rsid w:val="00FB45F1"/>
    <w:rsid w:val="00FB4A72"/>
    <w:rsid w:val="00FB54E8"/>
    <w:rsid w:val="00FB58A3"/>
    <w:rsid w:val="00FB62C6"/>
    <w:rsid w:val="00FB7054"/>
    <w:rsid w:val="00FB7B00"/>
    <w:rsid w:val="00FC079C"/>
    <w:rsid w:val="00FC17B7"/>
    <w:rsid w:val="00FC2CB7"/>
    <w:rsid w:val="00FC4090"/>
    <w:rsid w:val="00FC55B4"/>
    <w:rsid w:val="00FD00E6"/>
    <w:rsid w:val="00FD09A1"/>
    <w:rsid w:val="00FD14DB"/>
    <w:rsid w:val="00FD292F"/>
    <w:rsid w:val="00FD2A7C"/>
    <w:rsid w:val="00FD3E3A"/>
    <w:rsid w:val="00FD59EB"/>
    <w:rsid w:val="00FD66CC"/>
    <w:rsid w:val="00FD7299"/>
    <w:rsid w:val="00FE1FBE"/>
    <w:rsid w:val="00FE2818"/>
    <w:rsid w:val="00FE3901"/>
    <w:rsid w:val="00FE39D3"/>
    <w:rsid w:val="00FE49BF"/>
    <w:rsid w:val="00FE4BCE"/>
    <w:rsid w:val="00FE4DE0"/>
    <w:rsid w:val="00FE54AE"/>
    <w:rsid w:val="00FE576A"/>
    <w:rsid w:val="00FE7E79"/>
    <w:rsid w:val="00FF1BF2"/>
    <w:rsid w:val="00FF269C"/>
    <w:rsid w:val="00FF3E7D"/>
    <w:rsid w:val="00FF3F92"/>
    <w:rsid w:val="00FF5B99"/>
    <w:rsid w:val="00FF62CC"/>
    <w:rsid w:val="00FF730C"/>
    <w:rsid w:val="00FF73F4"/>
    <w:rsid w:val="00FF7CE4"/>
    <w:rsid w:val="00FF7E39"/>
    <w:rsid w:val="018C4803"/>
    <w:rsid w:val="023E0FE9"/>
    <w:rsid w:val="02774F2F"/>
    <w:rsid w:val="035E4919"/>
    <w:rsid w:val="03B34DE2"/>
    <w:rsid w:val="03E32640"/>
    <w:rsid w:val="03EA45C6"/>
    <w:rsid w:val="040731F8"/>
    <w:rsid w:val="040D130B"/>
    <w:rsid w:val="041A7683"/>
    <w:rsid w:val="043071CB"/>
    <w:rsid w:val="04651D6E"/>
    <w:rsid w:val="049329AF"/>
    <w:rsid w:val="055160D3"/>
    <w:rsid w:val="055F2AAA"/>
    <w:rsid w:val="05990FB1"/>
    <w:rsid w:val="067D700A"/>
    <w:rsid w:val="0699065A"/>
    <w:rsid w:val="07295ECA"/>
    <w:rsid w:val="077C623E"/>
    <w:rsid w:val="0790126E"/>
    <w:rsid w:val="07B65187"/>
    <w:rsid w:val="086179AB"/>
    <w:rsid w:val="0872555D"/>
    <w:rsid w:val="09167A44"/>
    <w:rsid w:val="09382BEA"/>
    <w:rsid w:val="09502F56"/>
    <w:rsid w:val="0A241F46"/>
    <w:rsid w:val="0A8135DA"/>
    <w:rsid w:val="0A830604"/>
    <w:rsid w:val="0AA34D2A"/>
    <w:rsid w:val="0AF2597F"/>
    <w:rsid w:val="0B061B2B"/>
    <w:rsid w:val="0B69135E"/>
    <w:rsid w:val="0BCC7BE5"/>
    <w:rsid w:val="0C6620B1"/>
    <w:rsid w:val="0CDD0FA5"/>
    <w:rsid w:val="0CEF640A"/>
    <w:rsid w:val="0D3C216F"/>
    <w:rsid w:val="0D444A43"/>
    <w:rsid w:val="0D50082A"/>
    <w:rsid w:val="0D662D48"/>
    <w:rsid w:val="0E0F443D"/>
    <w:rsid w:val="0E183D6D"/>
    <w:rsid w:val="0E687BC4"/>
    <w:rsid w:val="0E9F7911"/>
    <w:rsid w:val="1034740C"/>
    <w:rsid w:val="10863376"/>
    <w:rsid w:val="10D602B8"/>
    <w:rsid w:val="10D60D02"/>
    <w:rsid w:val="111C34D0"/>
    <w:rsid w:val="12371157"/>
    <w:rsid w:val="130B40DA"/>
    <w:rsid w:val="1312194F"/>
    <w:rsid w:val="13225964"/>
    <w:rsid w:val="1328129A"/>
    <w:rsid w:val="14250B6B"/>
    <w:rsid w:val="14DE124A"/>
    <w:rsid w:val="160F0770"/>
    <w:rsid w:val="162F6D7B"/>
    <w:rsid w:val="164E7E67"/>
    <w:rsid w:val="16590AC3"/>
    <w:rsid w:val="168054E5"/>
    <w:rsid w:val="16F618AB"/>
    <w:rsid w:val="17451C21"/>
    <w:rsid w:val="17CE60BA"/>
    <w:rsid w:val="18280043"/>
    <w:rsid w:val="185B5B2F"/>
    <w:rsid w:val="18A60DE5"/>
    <w:rsid w:val="18C94AD3"/>
    <w:rsid w:val="190A1D3F"/>
    <w:rsid w:val="190B3AAD"/>
    <w:rsid w:val="19736900"/>
    <w:rsid w:val="199155F1"/>
    <w:rsid w:val="199A4BD8"/>
    <w:rsid w:val="19AC242B"/>
    <w:rsid w:val="1A0A4118"/>
    <w:rsid w:val="1A23348C"/>
    <w:rsid w:val="1A295829"/>
    <w:rsid w:val="1A3366A8"/>
    <w:rsid w:val="1AB42725"/>
    <w:rsid w:val="1BA81562"/>
    <w:rsid w:val="1BAC5B83"/>
    <w:rsid w:val="1BC5265A"/>
    <w:rsid w:val="1BE5373E"/>
    <w:rsid w:val="1C09772C"/>
    <w:rsid w:val="1C300658"/>
    <w:rsid w:val="1CA7514A"/>
    <w:rsid w:val="1CDA72AF"/>
    <w:rsid w:val="1D2E7035"/>
    <w:rsid w:val="1DDF6B97"/>
    <w:rsid w:val="1E2227E1"/>
    <w:rsid w:val="1F257671"/>
    <w:rsid w:val="1F422EEA"/>
    <w:rsid w:val="1F530396"/>
    <w:rsid w:val="1FD55B0C"/>
    <w:rsid w:val="1FF337F5"/>
    <w:rsid w:val="20054D0E"/>
    <w:rsid w:val="203413E1"/>
    <w:rsid w:val="208C23F8"/>
    <w:rsid w:val="2138048D"/>
    <w:rsid w:val="217D052B"/>
    <w:rsid w:val="21E25F1C"/>
    <w:rsid w:val="21EE048E"/>
    <w:rsid w:val="225A0462"/>
    <w:rsid w:val="225E1181"/>
    <w:rsid w:val="226C6BFB"/>
    <w:rsid w:val="228A52D3"/>
    <w:rsid w:val="230F2597"/>
    <w:rsid w:val="2316746F"/>
    <w:rsid w:val="23213A92"/>
    <w:rsid w:val="235826C0"/>
    <w:rsid w:val="23983979"/>
    <w:rsid w:val="23C753D0"/>
    <w:rsid w:val="244653E7"/>
    <w:rsid w:val="24C63D04"/>
    <w:rsid w:val="24CE0913"/>
    <w:rsid w:val="25001304"/>
    <w:rsid w:val="25162E4E"/>
    <w:rsid w:val="255F47F5"/>
    <w:rsid w:val="259C6283"/>
    <w:rsid w:val="25FC10DE"/>
    <w:rsid w:val="262B41E9"/>
    <w:rsid w:val="27217155"/>
    <w:rsid w:val="27242764"/>
    <w:rsid w:val="27383550"/>
    <w:rsid w:val="27621C2B"/>
    <w:rsid w:val="27711DEC"/>
    <w:rsid w:val="27963C0F"/>
    <w:rsid w:val="27B01329"/>
    <w:rsid w:val="27BB7BB0"/>
    <w:rsid w:val="27C366E8"/>
    <w:rsid w:val="27F330F3"/>
    <w:rsid w:val="28756403"/>
    <w:rsid w:val="28766EAE"/>
    <w:rsid w:val="28AD1D1C"/>
    <w:rsid w:val="28B06810"/>
    <w:rsid w:val="28BF0C99"/>
    <w:rsid w:val="29FF65A7"/>
    <w:rsid w:val="2AA1765E"/>
    <w:rsid w:val="2B4407A3"/>
    <w:rsid w:val="2B453F9D"/>
    <w:rsid w:val="2B7C4E67"/>
    <w:rsid w:val="2C3642AE"/>
    <w:rsid w:val="2C843799"/>
    <w:rsid w:val="2CCD64E8"/>
    <w:rsid w:val="2D0D768C"/>
    <w:rsid w:val="2D8B051E"/>
    <w:rsid w:val="2DF16DA0"/>
    <w:rsid w:val="2E4E43F9"/>
    <w:rsid w:val="2EAE40F8"/>
    <w:rsid w:val="2ED7364E"/>
    <w:rsid w:val="2F306099"/>
    <w:rsid w:val="2F8572C8"/>
    <w:rsid w:val="2FB869B6"/>
    <w:rsid w:val="303F6819"/>
    <w:rsid w:val="3053665B"/>
    <w:rsid w:val="30BF77A8"/>
    <w:rsid w:val="3124598D"/>
    <w:rsid w:val="31653193"/>
    <w:rsid w:val="31F45863"/>
    <w:rsid w:val="321921D0"/>
    <w:rsid w:val="3247112A"/>
    <w:rsid w:val="324C5317"/>
    <w:rsid w:val="327344D8"/>
    <w:rsid w:val="33225ADB"/>
    <w:rsid w:val="33567B2A"/>
    <w:rsid w:val="33631344"/>
    <w:rsid w:val="33750F26"/>
    <w:rsid w:val="337861FE"/>
    <w:rsid w:val="338D46DC"/>
    <w:rsid w:val="33CB3D25"/>
    <w:rsid w:val="341715C0"/>
    <w:rsid w:val="34550187"/>
    <w:rsid w:val="347E614D"/>
    <w:rsid w:val="353C01C0"/>
    <w:rsid w:val="353F54A1"/>
    <w:rsid w:val="357D027F"/>
    <w:rsid w:val="359E0064"/>
    <w:rsid w:val="35AE474D"/>
    <w:rsid w:val="36E52680"/>
    <w:rsid w:val="372C419F"/>
    <w:rsid w:val="377A726D"/>
    <w:rsid w:val="37C80689"/>
    <w:rsid w:val="37CE314F"/>
    <w:rsid w:val="37DF42FE"/>
    <w:rsid w:val="37EE353E"/>
    <w:rsid w:val="383B4C4E"/>
    <w:rsid w:val="38B9638B"/>
    <w:rsid w:val="38F1364A"/>
    <w:rsid w:val="393514CA"/>
    <w:rsid w:val="395A5431"/>
    <w:rsid w:val="39DC7D6B"/>
    <w:rsid w:val="39F20EFE"/>
    <w:rsid w:val="3A343025"/>
    <w:rsid w:val="3A406116"/>
    <w:rsid w:val="3AB807D8"/>
    <w:rsid w:val="3ACE4235"/>
    <w:rsid w:val="3ACF1C8D"/>
    <w:rsid w:val="3B6E2C84"/>
    <w:rsid w:val="3BBA7A0B"/>
    <w:rsid w:val="3BCB453B"/>
    <w:rsid w:val="3BD000E5"/>
    <w:rsid w:val="3BD66A3C"/>
    <w:rsid w:val="3C0A47E2"/>
    <w:rsid w:val="3C2459F9"/>
    <w:rsid w:val="3C7A4420"/>
    <w:rsid w:val="3CF30534"/>
    <w:rsid w:val="3D527C28"/>
    <w:rsid w:val="3DB07E60"/>
    <w:rsid w:val="3E17509D"/>
    <w:rsid w:val="3E3A59A8"/>
    <w:rsid w:val="3EA31D29"/>
    <w:rsid w:val="3F1D6FE3"/>
    <w:rsid w:val="3F980BD8"/>
    <w:rsid w:val="3FA23805"/>
    <w:rsid w:val="3FD42539"/>
    <w:rsid w:val="3FF43934"/>
    <w:rsid w:val="40072088"/>
    <w:rsid w:val="402633F7"/>
    <w:rsid w:val="40EE2A1D"/>
    <w:rsid w:val="414032D5"/>
    <w:rsid w:val="41BA25AE"/>
    <w:rsid w:val="41EC6FB9"/>
    <w:rsid w:val="42197764"/>
    <w:rsid w:val="42495C9B"/>
    <w:rsid w:val="424B4E45"/>
    <w:rsid w:val="424D4955"/>
    <w:rsid w:val="42631BEF"/>
    <w:rsid w:val="42882E3D"/>
    <w:rsid w:val="430C0EA1"/>
    <w:rsid w:val="435472D8"/>
    <w:rsid w:val="4472651A"/>
    <w:rsid w:val="44B546FF"/>
    <w:rsid w:val="44ED10D1"/>
    <w:rsid w:val="45B534BE"/>
    <w:rsid w:val="466B4F84"/>
    <w:rsid w:val="46701E69"/>
    <w:rsid w:val="46E83A52"/>
    <w:rsid w:val="473311E6"/>
    <w:rsid w:val="475A4C2F"/>
    <w:rsid w:val="477F442B"/>
    <w:rsid w:val="4856281D"/>
    <w:rsid w:val="48A163BF"/>
    <w:rsid w:val="48AE4FC8"/>
    <w:rsid w:val="48EA2BBB"/>
    <w:rsid w:val="495908AB"/>
    <w:rsid w:val="495C07B1"/>
    <w:rsid w:val="496E4372"/>
    <w:rsid w:val="4984533F"/>
    <w:rsid w:val="49B22896"/>
    <w:rsid w:val="49D24FBC"/>
    <w:rsid w:val="4A000CBD"/>
    <w:rsid w:val="4A9C6370"/>
    <w:rsid w:val="4ACA6A8A"/>
    <w:rsid w:val="4B6D4718"/>
    <w:rsid w:val="4B7F49FA"/>
    <w:rsid w:val="4B9C2A5A"/>
    <w:rsid w:val="4C38655E"/>
    <w:rsid w:val="4C5E4F57"/>
    <w:rsid w:val="4C7A798C"/>
    <w:rsid w:val="4CB66FCB"/>
    <w:rsid w:val="4D381304"/>
    <w:rsid w:val="4D5123C6"/>
    <w:rsid w:val="4D61085B"/>
    <w:rsid w:val="4D6B75B8"/>
    <w:rsid w:val="4DB848C8"/>
    <w:rsid w:val="4DD4569D"/>
    <w:rsid w:val="4E505427"/>
    <w:rsid w:val="4E8862BB"/>
    <w:rsid w:val="4F0B61DD"/>
    <w:rsid w:val="4F98352B"/>
    <w:rsid w:val="4FB8433B"/>
    <w:rsid w:val="504B57F2"/>
    <w:rsid w:val="505027CE"/>
    <w:rsid w:val="508D27A6"/>
    <w:rsid w:val="50E34517"/>
    <w:rsid w:val="50E36A49"/>
    <w:rsid w:val="50F639B0"/>
    <w:rsid w:val="51274E90"/>
    <w:rsid w:val="519E0A6A"/>
    <w:rsid w:val="51B41A29"/>
    <w:rsid w:val="51CE2347"/>
    <w:rsid w:val="51DE2C51"/>
    <w:rsid w:val="51EE4DA4"/>
    <w:rsid w:val="52474647"/>
    <w:rsid w:val="525C2D02"/>
    <w:rsid w:val="526D26E4"/>
    <w:rsid w:val="527672C6"/>
    <w:rsid w:val="52EB716C"/>
    <w:rsid w:val="53183A7E"/>
    <w:rsid w:val="533E33EC"/>
    <w:rsid w:val="53437B53"/>
    <w:rsid w:val="53893519"/>
    <w:rsid w:val="545A25C6"/>
    <w:rsid w:val="547D5739"/>
    <w:rsid w:val="548A44AF"/>
    <w:rsid w:val="548D7A85"/>
    <w:rsid w:val="557A74B1"/>
    <w:rsid w:val="55901D4F"/>
    <w:rsid w:val="57014FE4"/>
    <w:rsid w:val="571A0056"/>
    <w:rsid w:val="571B4F42"/>
    <w:rsid w:val="5727726D"/>
    <w:rsid w:val="5745462E"/>
    <w:rsid w:val="57914433"/>
    <w:rsid w:val="581610CB"/>
    <w:rsid w:val="58AC697D"/>
    <w:rsid w:val="58F90E4D"/>
    <w:rsid w:val="59271EB4"/>
    <w:rsid w:val="59DE1485"/>
    <w:rsid w:val="59EA13C6"/>
    <w:rsid w:val="5A1E1882"/>
    <w:rsid w:val="5AD8219C"/>
    <w:rsid w:val="5B076635"/>
    <w:rsid w:val="5B292E90"/>
    <w:rsid w:val="5B3162A5"/>
    <w:rsid w:val="5B8A005C"/>
    <w:rsid w:val="5BB542EE"/>
    <w:rsid w:val="5BBD57F6"/>
    <w:rsid w:val="5C5C58C8"/>
    <w:rsid w:val="5C6C0FCA"/>
    <w:rsid w:val="5C700ABB"/>
    <w:rsid w:val="5CE84AF5"/>
    <w:rsid w:val="5D1B360A"/>
    <w:rsid w:val="5D276788"/>
    <w:rsid w:val="5D8A0DD0"/>
    <w:rsid w:val="5D8D5C9D"/>
    <w:rsid w:val="5DB412DC"/>
    <w:rsid w:val="5FA02DB5"/>
    <w:rsid w:val="604638E0"/>
    <w:rsid w:val="60D96503"/>
    <w:rsid w:val="613F174A"/>
    <w:rsid w:val="61A526FE"/>
    <w:rsid w:val="61C62CDD"/>
    <w:rsid w:val="622814F0"/>
    <w:rsid w:val="630755A9"/>
    <w:rsid w:val="6320705E"/>
    <w:rsid w:val="63A27AA9"/>
    <w:rsid w:val="643172E9"/>
    <w:rsid w:val="64380962"/>
    <w:rsid w:val="64EC2D10"/>
    <w:rsid w:val="64F504AC"/>
    <w:rsid w:val="6558033E"/>
    <w:rsid w:val="65E25A9F"/>
    <w:rsid w:val="667967BE"/>
    <w:rsid w:val="669B4E3A"/>
    <w:rsid w:val="6760797E"/>
    <w:rsid w:val="677C2DC0"/>
    <w:rsid w:val="677E660C"/>
    <w:rsid w:val="67AA389F"/>
    <w:rsid w:val="68041582"/>
    <w:rsid w:val="6809134E"/>
    <w:rsid w:val="683948C6"/>
    <w:rsid w:val="68444BA9"/>
    <w:rsid w:val="684B5F38"/>
    <w:rsid w:val="68C83A2C"/>
    <w:rsid w:val="690B540C"/>
    <w:rsid w:val="699E3773"/>
    <w:rsid w:val="69C10463"/>
    <w:rsid w:val="69C430EA"/>
    <w:rsid w:val="69E957C6"/>
    <w:rsid w:val="6A1E6BCA"/>
    <w:rsid w:val="6A33677F"/>
    <w:rsid w:val="6A451B01"/>
    <w:rsid w:val="6A835E5D"/>
    <w:rsid w:val="6A915ACE"/>
    <w:rsid w:val="6AA8782B"/>
    <w:rsid w:val="6AC41FD2"/>
    <w:rsid w:val="6AD721E2"/>
    <w:rsid w:val="6B0A4C9C"/>
    <w:rsid w:val="6B4C1020"/>
    <w:rsid w:val="6B6D1C55"/>
    <w:rsid w:val="6BB741E2"/>
    <w:rsid w:val="6C23768F"/>
    <w:rsid w:val="6C862B9C"/>
    <w:rsid w:val="6D1A370B"/>
    <w:rsid w:val="6D77462C"/>
    <w:rsid w:val="6D785AA8"/>
    <w:rsid w:val="6E603C27"/>
    <w:rsid w:val="6EDC0C46"/>
    <w:rsid w:val="6FF818D2"/>
    <w:rsid w:val="70370C02"/>
    <w:rsid w:val="70433998"/>
    <w:rsid w:val="706C45C0"/>
    <w:rsid w:val="70C0153C"/>
    <w:rsid w:val="70CF778C"/>
    <w:rsid w:val="71C22723"/>
    <w:rsid w:val="72180BC4"/>
    <w:rsid w:val="72267404"/>
    <w:rsid w:val="72920CBC"/>
    <w:rsid w:val="729D0438"/>
    <w:rsid w:val="73287AA2"/>
    <w:rsid w:val="736004FD"/>
    <w:rsid w:val="7367481F"/>
    <w:rsid w:val="73973564"/>
    <w:rsid w:val="73A85409"/>
    <w:rsid w:val="73AE1D65"/>
    <w:rsid w:val="73B21EAD"/>
    <w:rsid w:val="74202BA6"/>
    <w:rsid w:val="74624D35"/>
    <w:rsid w:val="74C62076"/>
    <w:rsid w:val="761A6C86"/>
    <w:rsid w:val="76650B0D"/>
    <w:rsid w:val="77BD61E6"/>
    <w:rsid w:val="78224CA5"/>
    <w:rsid w:val="78845124"/>
    <w:rsid w:val="7886429F"/>
    <w:rsid w:val="78944E1E"/>
    <w:rsid w:val="79BC38A2"/>
    <w:rsid w:val="79F93EBD"/>
    <w:rsid w:val="7A473C89"/>
    <w:rsid w:val="7A5A37DE"/>
    <w:rsid w:val="7A734483"/>
    <w:rsid w:val="7B2C143C"/>
    <w:rsid w:val="7B341947"/>
    <w:rsid w:val="7B784BEC"/>
    <w:rsid w:val="7BEF1E34"/>
    <w:rsid w:val="7C1C1C6D"/>
    <w:rsid w:val="7C1F42F3"/>
    <w:rsid w:val="7C9E71C2"/>
    <w:rsid w:val="7DAE4238"/>
    <w:rsid w:val="7DB337F2"/>
    <w:rsid w:val="7DD5116B"/>
    <w:rsid w:val="7E5A34F6"/>
    <w:rsid w:val="7E5B4B33"/>
    <w:rsid w:val="7E9743D3"/>
    <w:rsid w:val="7EF66571"/>
    <w:rsid w:val="7EFA75A5"/>
    <w:rsid w:val="7F6C3F42"/>
    <w:rsid w:val="7F743B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一级无"/>
    <w:basedOn w:val="233"/>
    <w:qFormat/>
    <w:uiPriority w:val="0"/>
    <w:pPr>
      <w:spacing w:before="0" w:beforeLines="0" w:after="0" w:afterLines="0"/>
    </w:pPr>
    <w:rPr>
      <w:rFonts w:ascii="宋体" w:eastAsia="宋体"/>
    </w:rPr>
  </w:style>
  <w:style w:type="paragraph" w:customStyle="1" w:styleId="233">
    <w:name w:val="一级条标题"/>
    <w:next w:val="23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二级无"/>
    <w:basedOn w:val="235"/>
    <w:qFormat/>
    <w:uiPriority w:val="0"/>
    <w:pPr>
      <w:spacing w:before="0" w:beforeLines="0" w:after="0" w:afterLines="0"/>
      <w:ind w:left="0" w:firstLine="0"/>
    </w:pPr>
    <w:rPr>
      <w:rFonts w:ascii="宋体" w:eastAsia="宋体"/>
    </w:rPr>
  </w:style>
  <w:style w:type="paragraph" w:customStyle="1" w:styleId="235">
    <w:name w:val="二级条标题"/>
    <w:basedOn w:val="233"/>
    <w:next w:val="231"/>
    <w:qFormat/>
    <w:uiPriority w:val="0"/>
    <w:pPr>
      <w:numPr>
        <w:ilvl w:val="2"/>
        <w:numId w:val="32"/>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4ED0C65FCA0444FB3BBDA4F170648AB"/>
        <w:style w:val=""/>
        <w:category>
          <w:name w:val="常规"/>
          <w:gallery w:val="placeholder"/>
        </w:category>
        <w:types>
          <w:type w:val="bbPlcHdr"/>
        </w:types>
        <w:behaviors>
          <w:behavior w:val="content"/>
        </w:behaviors>
        <w:description w:val=""/>
        <w:guid w:val="{3CB61FC5-9B1E-4B82-8FC0-EFCB2A348316}"/>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31E2"/>
    <w:rsid w:val="000D1EF3"/>
    <w:rsid w:val="001367BB"/>
    <w:rsid w:val="001E29EF"/>
    <w:rsid w:val="002F3366"/>
    <w:rsid w:val="003031FB"/>
    <w:rsid w:val="00306AA3"/>
    <w:rsid w:val="00322713"/>
    <w:rsid w:val="003448D6"/>
    <w:rsid w:val="005901F2"/>
    <w:rsid w:val="005D31E2"/>
    <w:rsid w:val="006062B8"/>
    <w:rsid w:val="00617294"/>
    <w:rsid w:val="006C41C9"/>
    <w:rsid w:val="00717A8B"/>
    <w:rsid w:val="0074020F"/>
    <w:rsid w:val="00765C9B"/>
    <w:rsid w:val="007C14D9"/>
    <w:rsid w:val="008A7282"/>
    <w:rsid w:val="008B2DBE"/>
    <w:rsid w:val="008E5A86"/>
    <w:rsid w:val="00B37F6D"/>
    <w:rsid w:val="00BA591F"/>
    <w:rsid w:val="00C03027"/>
    <w:rsid w:val="00DD6C30"/>
    <w:rsid w:val="00DF6025"/>
    <w:rsid w:val="00E158FD"/>
    <w:rsid w:val="00E52DCE"/>
    <w:rsid w:val="00EA114A"/>
    <w:rsid w:val="00EA7AB6"/>
    <w:rsid w:val="00F652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4ED0C65FCA0444FB3BBDA4F170648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6699708ABA5415EAE58478D3C1DB1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075549982B64724A28600F66651A0E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6154</Words>
  <Characters>6651</Characters>
  <Lines>40</Lines>
  <Paragraphs>11</Paragraphs>
  <TotalTime>0</TotalTime>
  <ScaleCrop>false</ScaleCrop>
  <LinksUpToDate>false</LinksUpToDate>
  <CharactersWithSpaces>6844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2022-08-05T07:14:00Z</dcterms:created>
  <dc:creator>ydytxq</dc:creator>
  <cp:lastModifiedBy>Administrator</cp:lastModifiedBy>
  <cp:lastPrinted>2022-10-12T02:03:00Z</cp:lastPrinted>
  <dcterms:modified xsi:type="dcterms:W3CDTF">2025-01-03T03:13:04Z</dcterms:modified>
  <dc:title>团体标准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2052-11.1.0.9912</vt:lpwstr>
  </property>
  <property fmtid="{D5CDD505-2E9C-101B-9397-08002B2CF9AE}" pid="15" name="ICV">
    <vt:lpwstr>E18E088F8D8B4C6497BB088D8F0E10CA</vt:lpwstr>
  </property>
</Properties>
</file>